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ABB6" w14:textId="77777777" w:rsidR="00F639E9" w:rsidRDefault="00FA7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3F16EA17" wp14:editId="6D1F57C8">
            <wp:extent cx="5730875" cy="1073150"/>
            <wp:effectExtent l="0" t="0" r="0" b="0"/>
            <wp:docPr id="1026" name="image1.png" descr="O imagine care conține text&#10;&#10;Descriere generată autom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 imagine care conține text&#10;&#10;Descriere generată automa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8F2E66" w14:textId="77777777" w:rsidR="00F639E9" w:rsidRDefault="00FA7BA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Serviciul Relații Publice, CIC și Informatică</w:t>
      </w:r>
    </w:p>
    <w:p w14:paraId="3CF3CB42" w14:textId="77777777" w:rsidR="00F639E9" w:rsidRDefault="00FA7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Răspuns solicitare presă</w:t>
      </w:r>
    </w:p>
    <w:p w14:paraId="6FC97266" w14:textId="77777777" w:rsidR="00F639E9" w:rsidRDefault="00FA7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Ad.nr.24487/10.11.2021</w:t>
      </w:r>
    </w:p>
    <w:p w14:paraId="1E36A194" w14:textId="77777777" w:rsidR="00F639E9" w:rsidRDefault="00FA7BA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E15B3F" w14:textId="77777777" w:rsidR="00F639E9" w:rsidRDefault="00FA7BA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Aprob</w:t>
      </w:r>
    </w:p>
    <w:p w14:paraId="5076475E" w14:textId="77777777" w:rsidR="00F639E9" w:rsidRDefault="00FA7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Președintă</w:t>
      </w:r>
    </w:p>
    <w:p w14:paraId="649CC5ED" w14:textId="77777777" w:rsidR="00F639E9" w:rsidRDefault="00F63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6D61FAB3" w14:textId="77777777" w:rsidR="00F639E9" w:rsidRDefault="00FA7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Daniela Cîmpean</w:t>
      </w:r>
    </w:p>
    <w:p w14:paraId="62DB8A8E" w14:textId="77777777" w:rsidR="00F639E9" w:rsidRDefault="00F639E9">
      <w:pPr>
        <w:ind w:left="0" w:hanging="2"/>
        <w:rPr>
          <w:sz w:val="24"/>
          <w:szCs w:val="24"/>
        </w:rPr>
      </w:pPr>
    </w:p>
    <w:p w14:paraId="1B5F4839" w14:textId="77777777" w:rsidR="00F639E9" w:rsidRDefault="00F639E9">
      <w:pPr>
        <w:ind w:left="0" w:hanging="2"/>
        <w:rPr>
          <w:sz w:val="24"/>
          <w:szCs w:val="24"/>
        </w:rPr>
      </w:pPr>
    </w:p>
    <w:p w14:paraId="316275FE" w14:textId="77777777" w:rsidR="00F639E9" w:rsidRDefault="00F639E9">
      <w:pPr>
        <w:ind w:left="0" w:hanging="2"/>
        <w:rPr>
          <w:sz w:val="24"/>
          <w:szCs w:val="24"/>
        </w:rPr>
      </w:pPr>
    </w:p>
    <w:p w14:paraId="29556F76" w14:textId="77777777" w:rsidR="00F639E9" w:rsidRDefault="00FA7BA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Către publicația </w:t>
      </w:r>
      <w:r>
        <w:rPr>
          <w:i/>
          <w:sz w:val="24"/>
          <w:szCs w:val="24"/>
        </w:rPr>
        <w:t>ZIUA ONLINE</w:t>
      </w:r>
    </w:p>
    <w:p w14:paraId="4DA1C1B5" w14:textId="4CA459B8" w:rsidR="00F639E9" w:rsidRDefault="00FA7BA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În atenția dlui D.D.</w:t>
      </w:r>
    </w:p>
    <w:p w14:paraId="51910D4D" w14:textId="77777777" w:rsidR="00F639E9" w:rsidRDefault="00F639E9">
      <w:pPr>
        <w:widowControl w:val="0"/>
        <w:tabs>
          <w:tab w:val="left" w:pos="709"/>
          <w:tab w:val="left" w:pos="3330"/>
        </w:tabs>
        <w:spacing w:line="360" w:lineRule="auto"/>
        <w:ind w:left="0" w:right="13" w:hanging="2"/>
        <w:jc w:val="both"/>
        <w:rPr>
          <w:sz w:val="24"/>
          <w:szCs w:val="24"/>
        </w:rPr>
      </w:pPr>
    </w:p>
    <w:p w14:paraId="44B826ED" w14:textId="77777777" w:rsidR="00F639E9" w:rsidRDefault="00FA7BA0">
      <w:pPr>
        <w:widowControl w:val="0"/>
        <w:tabs>
          <w:tab w:val="left" w:pos="709"/>
          <w:tab w:val="left" w:pos="3330"/>
        </w:tabs>
        <w:spacing w:line="360" w:lineRule="auto"/>
        <w:ind w:left="0" w:right="13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 urmare a solicitării dumneavoastră pe care ne-ați transmis-o prin email la adresa </w:t>
      </w:r>
      <w:hyperlink r:id="rId6">
        <w:r>
          <w:rPr>
            <w:color w:val="0563C1"/>
            <w:sz w:val="24"/>
            <w:szCs w:val="24"/>
            <w:u w:val="single"/>
          </w:rPr>
          <w:t>judet@cjsibiu.ro</w:t>
        </w:r>
      </w:hyperlink>
      <w:r>
        <w:rPr>
          <w:sz w:val="24"/>
          <w:szCs w:val="24"/>
        </w:rPr>
        <w:t xml:space="preserve"> în data de 02.11.2021, ora 22:07, și care a fost înregistrată la Consi</w:t>
      </w:r>
      <w:r>
        <w:rPr>
          <w:sz w:val="24"/>
          <w:szCs w:val="24"/>
        </w:rPr>
        <w:t>liul Județean Sibiu cu nr.</w:t>
      </w:r>
      <w:r>
        <w:rPr>
          <w:b/>
          <w:sz w:val="24"/>
          <w:szCs w:val="24"/>
        </w:rPr>
        <w:t>24487/03.11.2021</w:t>
      </w:r>
      <w:r>
        <w:rPr>
          <w:sz w:val="24"/>
          <w:szCs w:val="24"/>
        </w:rPr>
        <w:t>, vă punem la dispoziție răspunsul formulat de către conducerea Direcției Generale de Asistență Socială și Protecția Copilului Sibiu nr. 67409/08.112021, înregistrat la CJ Sibiu cu nr.24895/09.11.2021 (răspuns reda</w:t>
      </w:r>
      <w:r>
        <w:rPr>
          <w:sz w:val="24"/>
          <w:szCs w:val="24"/>
        </w:rPr>
        <w:t>t mai jos, precum și anexat).</w:t>
      </w:r>
    </w:p>
    <w:p w14:paraId="67BA37C6" w14:textId="77777777" w:rsidR="00F639E9" w:rsidRDefault="00FA7BA0">
      <w:pPr>
        <w:widowControl w:val="0"/>
        <w:tabs>
          <w:tab w:val="left" w:pos="709"/>
          <w:tab w:val="left" w:pos="3330"/>
        </w:tabs>
        <w:spacing w:line="360" w:lineRule="auto"/>
        <w:ind w:left="0" w:right="13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Asociația „Speranță și Zâmbet”</w:t>
      </w:r>
      <w:r>
        <w:rPr>
          <w:sz w:val="24"/>
          <w:szCs w:val="24"/>
        </w:rPr>
        <w:t xml:space="preserve"> este </w:t>
      </w:r>
      <w:r>
        <w:rPr>
          <w:b/>
          <w:i/>
          <w:sz w:val="24"/>
          <w:szCs w:val="24"/>
        </w:rPr>
        <w:t>furnizor privat de servicii sociale</w:t>
      </w:r>
      <w:r>
        <w:rPr>
          <w:sz w:val="24"/>
          <w:szCs w:val="24"/>
        </w:rPr>
        <w:t xml:space="preserve">, acreditat conform </w:t>
      </w:r>
      <w:r>
        <w:rPr>
          <w:b/>
          <w:sz w:val="24"/>
          <w:szCs w:val="24"/>
        </w:rPr>
        <w:t>Certificatului de acreditare seria AF nr. 005829</w:t>
      </w:r>
      <w:r>
        <w:rPr>
          <w:sz w:val="24"/>
          <w:szCs w:val="24"/>
        </w:rPr>
        <w:t>, eliberat de Ministerul Muncii și Justiției sociale la data de 26.02.2019;</w:t>
      </w:r>
    </w:p>
    <w:p w14:paraId="6DFA936C" w14:textId="77777777" w:rsidR="00F639E9" w:rsidRDefault="00FA7BA0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13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Asociația deține în prezent </w:t>
      </w:r>
      <w:r>
        <w:rPr>
          <w:b/>
          <w:sz w:val="24"/>
          <w:szCs w:val="24"/>
        </w:rPr>
        <w:t>3 case de tip familial</w:t>
      </w:r>
      <w:r>
        <w:rPr>
          <w:sz w:val="24"/>
          <w:szCs w:val="24"/>
        </w:rPr>
        <w:t>, după cum urmează:</w:t>
      </w:r>
    </w:p>
    <w:p w14:paraId="40F69709" w14:textId="77777777" w:rsidR="00F639E9" w:rsidRDefault="00FA7BA0">
      <w:pPr>
        <w:widowControl w:val="0"/>
        <w:numPr>
          <w:ilvl w:val="1"/>
          <w:numId w:val="1"/>
        </w:numPr>
        <w:tabs>
          <w:tab w:val="left" w:pos="851"/>
        </w:tabs>
        <w:spacing w:after="0" w:line="360" w:lineRule="auto"/>
        <w:ind w:left="0" w:right="13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„Casa Pamipa”</w:t>
      </w:r>
      <w:r>
        <w:rPr>
          <w:sz w:val="24"/>
          <w:szCs w:val="24"/>
        </w:rPr>
        <w:t xml:space="preserve"> – având cod serviciu social 8790-CR-C-I, din Șelimbăr, str. Câmpului, nr. 28, jud. Sibiu, care deține </w:t>
      </w:r>
      <w:r>
        <w:rPr>
          <w:b/>
          <w:sz w:val="24"/>
          <w:szCs w:val="24"/>
        </w:rPr>
        <w:t xml:space="preserve">Licența de funcționare provizorie nr. 1309 din 17.07.2020, </w:t>
      </w:r>
      <w:r>
        <w:rPr>
          <w:sz w:val="24"/>
          <w:szCs w:val="24"/>
        </w:rPr>
        <w:t>semnată de președintele Autorității Naționale pentru Drepturile Persoanelor cu Dizabilități, C</w:t>
      </w:r>
      <w:r>
        <w:rPr>
          <w:sz w:val="24"/>
          <w:szCs w:val="24"/>
        </w:rPr>
        <w:t>opii și Adopții (ANDPDCA);</w:t>
      </w:r>
    </w:p>
    <w:p w14:paraId="4F0D1766" w14:textId="77777777" w:rsidR="00F639E9" w:rsidRDefault="00FA7BA0">
      <w:pPr>
        <w:widowControl w:val="0"/>
        <w:numPr>
          <w:ilvl w:val="1"/>
          <w:numId w:val="1"/>
        </w:numPr>
        <w:tabs>
          <w:tab w:val="left" w:pos="851"/>
        </w:tabs>
        <w:spacing w:after="0" w:line="360" w:lineRule="auto"/>
        <w:ind w:left="0" w:right="13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„Casa Jeny și Tabita”</w:t>
      </w:r>
      <w:r>
        <w:rPr>
          <w:sz w:val="24"/>
          <w:szCs w:val="24"/>
        </w:rPr>
        <w:t xml:space="preserve"> – având cod serviciu social 8790-CR-C-I, din Șelimbăr, str. Câmpului, nr. 25, jud. Sibiu, care deține </w:t>
      </w:r>
      <w:r>
        <w:rPr>
          <w:b/>
          <w:sz w:val="24"/>
          <w:szCs w:val="24"/>
        </w:rPr>
        <w:t xml:space="preserve">Licența de funcționare provizorie nr. 1310 din 17.07.2020, </w:t>
      </w:r>
      <w:r>
        <w:rPr>
          <w:sz w:val="24"/>
          <w:szCs w:val="24"/>
        </w:rPr>
        <w:t xml:space="preserve">semnată de președintele Autorității Naționale </w:t>
      </w:r>
      <w:r>
        <w:rPr>
          <w:sz w:val="24"/>
          <w:szCs w:val="24"/>
        </w:rPr>
        <w:t xml:space="preserve">pentru Drepturile Persoanelor cu </w:t>
      </w:r>
      <w:r>
        <w:rPr>
          <w:sz w:val="24"/>
          <w:szCs w:val="24"/>
        </w:rPr>
        <w:lastRenderedPageBreak/>
        <w:t>Dizabilități, Copii și Adopții;</w:t>
      </w:r>
    </w:p>
    <w:p w14:paraId="444789CF" w14:textId="77777777" w:rsidR="00F639E9" w:rsidRDefault="00FA7BA0">
      <w:pPr>
        <w:widowControl w:val="0"/>
        <w:numPr>
          <w:ilvl w:val="1"/>
          <w:numId w:val="1"/>
        </w:numPr>
        <w:tabs>
          <w:tab w:val="left" w:pos="851"/>
        </w:tabs>
        <w:spacing w:after="0" w:line="360" w:lineRule="auto"/>
        <w:ind w:left="0" w:right="13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„Casa Pamipa 2”</w:t>
      </w:r>
      <w:r>
        <w:rPr>
          <w:sz w:val="24"/>
          <w:szCs w:val="24"/>
        </w:rPr>
        <w:t xml:space="preserve"> – având cod serviciu social 8790-CR-C-I, din Șelimbăr, str. Pinului, nr. 6, jud. Sibiu, care deține </w:t>
      </w:r>
      <w:r>
        <w:rPr>
          <w:b/>
          <w:sz w:val="24"/>
          <w:szCs w:val="24"/>
        </w:rPr>
        <w:t>Licența de funcționare provizorie nr. 1471 din 19.02.2021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semnată de preșe</w:t>
      </w:r>
      <w:r>
        <w:rPr>
          <w:sz w:val="24"/>
          <w:szCs w:val="24"/>
        </w:rPr>
        <w:t xml:space="preserve">dintele Autorității Naționale pentru Drepturile Persoanelor cu Dizabilități, Copii și Adopții; </w:t>
      </w:r>
    </w:p>
    <w:p w14:paraId="077E974E" w14:textId="77777777" w:rsidR="00F639E9" w:rsidRDefault="00FA7BA0">
      <w:pPr>
        <w:widowControl w:val="0"/>
        <w:numPr>
          <w:ilvl w:val="1"/>
          <w:numId w:val="1"/>
        </w:numPr>
        <w:tabs>
          <w:tab w:val="left" w:pos="851"/>
        </w:tabs>
        <w:spacing w:after="0" w:line="360" w:lineRule="auto"/>
        <w:ind w:left="0" w:right="13" w:hanging="2"/>
        <w:jc w:val="both"/>
        <w:rPr>
          <w:sz w:val="24"/>
          <w:szCs w:val="24"/>
        </w:rPr>
      </w:pPr>
      <w:r>
        <w:rPr>
          <w:sz w:val="24"/>
          <w:szCs w:val="24"/>
        </w:rPr>
        <w:t>Dosarele de licențiere au fost înaintate Ministerului Muncii și Protecției Sociale de către asociație, prin urmare numărul de înregistrare se poate obține de la</w:t>
      </w:r>
      <w:r>
        <w:rPr>
          <w:sz w:val="24"/>
          <w:szCs w:val="24"/>
        </w:rPr>
        <w:t xml:space="preserve"> MMPS; </w:t>
      </w:r>
    </w:p>
    <w:p w14:paraId="1E7F3B4B" w14:textId="77777777" w:rsidR="00F639E9" w:rsidRDefault="00FA7BA0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13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 prevederilor </w:t>
      </w:r>
      <w:r>
        <w:rPr>
          <w:b/>
          <w:sz w:val="24"/>
          <w:szCs w:val="24"/>
        </w:rPr>
        <w:t xml:space="preserve">Legii nr. 197/2011, </w:t>
      </w:r>
      <w:r>
        <w:rPr>
          <w:b/>
          <w:i/>
          <w:sz w:val="24"/>
          <w:szCs w:val="24"/>
        </w:rPr>
        <w:t>actualizată</w:t>
      </w:r>
      <w:r>
        <w:rPr>
          <w:sz w:val="24"/>
          <w:szCs w:val="24"/>
        </w:rPr>
        <w:t xml:space="preserve"> și ale </w:t>
      </w:r>
      <w:r>
        <w:rPr>
          <w:b/>
          <w:sz w:val="24"/>
          <w:szCs w:val="24"/>
        </w:rPr>
        <w:t xml:space="preserve">Hotărârii Guvernului nr. 118/2014, </w:t>
      </w:r>
      <w:r>
        <w:rPr>
          <w:b/>
          <w:i/>
          <w:sz w:val="24"/>
          <w:szCs w:val="24"/>
        </w:rPr>
        <w:t>actualizată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dosarul de licențiere al fiecărui serviciu social în parte a fost transmis către Ministerul Muncii și Protecției Sociale, de unde a fost îna</w:t>
      </w:r>
      <w:r>
        <w:rPr>
          <w:sz w:val="24"/>
          <w:szCs w:val="24"/>
        </w:rPr>
        <w:t xml:space="preserve">intat ANDPDCA spre analiză și soluționare; eliberarea licențelor de funcționare provizorie nu s-ar fi putut face în lipsa unor documente prevăzute de legislație;  </w:t>
      </w:r>
    </w:p>
    <w:p w14:paraId="12126951" w14:textId="77777777" w:rsidR="00F639E9" w:rsidRDefault="00FA7BA0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13" w:hanging="2"/>
        <w:jc w:val="both"/>
        <w:rPr>
          <w:sz w:val="24"/>
          <w:szCs w:val="24"/>
        </w:rPr>
      </w:pPr>
      <w:r>
        <w:rPr>
          <w:sz w:val="24"/>
          <w:szCs w:val="24"/>
        </w:rPr>
        <w:t>DGASPC Sibiu, până la această dată nu deține informații cu privire la casele de tip familial</w:t>
      </w:r>
      <w:r>
        <w:rPr>
          <w:sz w:val="24"/>
          <w:szCs w:val="24"/>
        </w:rPr>
        <w:t xml:space="preserve"> dacă au fost evaluate în teren pentru emiterea licenței de funcționare, această atribuție revenind Agenției Județene de Plăți și Inspecție Socială Sibiu (AJPIS); licențele provizorii au valabilitate 1 an, dar în contextul existenței stării de alertă și av</w:t>
      </w:r>
      <w:r>
        <w:rPr>
          <w:sz w:val="24"/>
          <w:szCs w:val="24"/>
        </w:rPr>
        <w:t xml:space="preserve">ând în vedere faptul că monitorizarea în teren din partea AJPIS Sibiu nu a avut loc, licențele provizorii sunt valabile; </w:t>
      </w:r>
    </w:p>
    <w:p w14:paraId="675EFD53" w14:textId="77777777" w:rsidR="00F639E9" w:rsidRDefault="00FA7BA0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13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asemenea, precizăm faptul că Hotărârea Guvernului nr. 118/2014, </w:t>
      </w:r>
      <w:r>
        <w:rPr>
          <w:b/>
          <w:sz w:val="24"/>
          <w:szCs w:val="24"/>
        </w:rPr>
        <w:t>a fost modificată prin HG nr. 476/2019</w:t>
      </w:r>
      <w:r>
        <w:rPr>
          <w:sz w:val="24"/>
          <w:szCs w:val="24"/>
        </w:rPr>
        <w:t>, conform căreia</w:t>
      </w:r>
      <w:r>
        <w:rPr>
          <w:b/>
          <w:sz w:val="24"/>
          <w:szCs w:val="24"/>
        </w:rPr>
        <w:t xml:space="preserve"> lista docume</w:t>
      </w:r>
      <w:r>
        <w:rPr>
          <w:b/>
          <w:sz w:val="24"/>
          <w:szCs w:val="24"/>
        </w:rPr>
        <w:t>ntelor justificative a fost modificată</w:t>
      </w:r>
      <w:r>
        <w:rPr>
          <w:sz w:val="24"/>
          <w:szCs w:val="24"/>
        </w:rPr>
        <w:t>:</w:t>
      </w:r>
    </w:p>
    <w:p w14:paraId="42293C22" w14:textId="77777777" w:rsidR="00F639E9" w:rsidRDefault="00FA7BA0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right="13" w:hanging="2"/>
        <w:jc w:val="both"/>
        <w:rPr>
          <w:color w:val="000000"/>
          <w:sz w:val="24"/>
          <w:szCs w:val="24"/>
          <w:highlight w:val="white"/>
        </w:rPr>
      </w:pPr>
      <w:r>
        <w:rPr>
          <w:b/>
          <w:i/>
          <w:sz w:val="24"/>
          <w:szCs w:val="24"/>
        </w:rPr>
        <w:t>„</w:t>
      </w:r>
      <w:r>
        <w:rPr>
          <w:b/>
          <w:i/>
          <w:color w:val="8B0000"/>
          <w:sz w:val="24"/>
          <w:szCs w:val="24"/>
          <w:highlight w:val="white"/>
        </w:rPr>
        <w:t>(1)</w:t>
      </w:r>
      <w:r>
        <w:rPr>
          <w:i/>
          <w:color w:val="000000"/>
          <w:sz w:val="24"/>
          <w:szCs w:val="24"/>
          <w:highlight w:val="white"/>
        </w:rPr>
        <w:t xml:space="preserve"> Documentele justificative solicitate sunt următoarele:</w:t>
      </w:r>
    </w:p>
    <w:p w14:paraId="42F4BC2B" w14:textId="77777777" w:rsidR="00F639E9" w:rsidRDefault="00FA7BA0">
      <w:pPr>
        <w:ind w:left="0" w:hanging="2"/>
        <w:jc w:val="both"/>
        <w:rPr>
          <w:sz w:val="24"/>
          <w:szCs w:val="24"/>
        </w:rPr>
      </w:pPr>
      <w:r>
        <w:rPr>
          <w:b/>
          <w:i/>
          <w:color w:val="8B0000"/>
          <w:sz w:val="24"/>
          <w:szCs w:val="24"/>
          <w:highlight w:val="white"/>
        </w:rPr>
        <w:t xml:space="preserve">a) </w:t>
      </w:r>
      <w:r>
        <w:rPr>
          <w:i/>
          <w:color w:val="000000"/>
          <w:sz w:val="24"/>
          <w:szCs w:val="24"/>
          <w:highlight w:val="white"/>
        </w:rPr>
        <w:t xml:space="preserve">documentul care atestă dreptul de administrare, de concesiune sau de folosinţă asupra spaţiului în care funcţionează serviciul social, cum ar fi: extras </w:t>
      </w:r>
      <w:r>
        <w:rPr>
          <w:i/>
          <w:color w:val="000000"/>
          <w:sz w:val="24"/>
          <w:szCs w:val="24"/>
          <w:highlight w:val="white"/>
        </w:rPr>
        <w:t>de carte funciară pentru informare, contract de comodat, de închiriere, de concesiune, de administrare, de schimb etc.;</w:t>
      </w:r>
    </w:p>
    <w:p w14:paraId="41E392F7" w14:textId="77777777" w:rsidR="00F639E9" w:rsidRDefault="00FA7BA0">
      <w:pPr>
        <w:ind w:left="0" w:hanging="2"/>
        <w:jc w:val="both"/>
        <w:rPr>
          <w:sz w:val="24"/>
          <w:szCs w:val="24"/>
          <w:highlight w:val="white"/>
        </w:rPr>
      </w:pPr>
      <w:r>
        <w:rPr>
          <w:b/>
          <w:i/>
          <w:color w:val="8B0000"/>
          <w:sz w:val="24"/>
          <w:szCs w:val="24"/>
          <w:highlight w:val="white"/>
        </w:rPr>
        <w:t xml:space="preserve">b) </w:t>
      </w:r>
      <w:r>
        <w:rPr>
          <w:i/>
          <w:color w:val="000000"/>
          <w:sz w:val="24"/>
          <w:szCs w:val="24"/>
          <w:highlight w:val="white"/>
        </w:rPr>
        <w:t>actul/documentul legal privind decizia de înfiinţare a serviciului, după caz;</w:t>
      </w:r>
    </w:p>
    <w:p w14:paraId="5289E34C" w14:textId="77777777" w:rsidR="00F639E9" w:rsidRDefault="00FA7BA0">
      <w:pPr>
        <w:ind w:left="0" w:hanging="2"/>
        <w:jc w:val="both"/>
        <w:rPr>
          <w:sz w:val="24"/>
          <w:szCs w:val="24"/>
          <w:highlight w:val="white"/>
        </w:rPr>
      </w:pPr>
      <w:r>
        <w:rPr>
          <w:b/>
          <w:i/>
          <w:color w:val="8B0000"/>
          <w:sz w:val="24"/>
          <w:szCs w:val="24"/>
          <w:highlight w:val="white"/>
        </w:rPr>
        <w:t xml:space="preserve">c) </w:t>
      </w:r>
      <w:r>
        <w:rPr>
          <w:i/>
          <w:color w:val="000000"/>
          <w:sz w:val="24"/>
          <w:szCs w:val="24"/>
          <w:highlight w:val="white"/>
        </w:rPr>
        <w:t>regulamentul de organizare şi funcţionare al servici</w:t>
      </w:r>
      <w:r>
        <w:rPr>
          <w:i/>
          <w:color w:val="000000"/>
          <w:sz w:val="24"/>
          <w:szCs w:val="24"/>
          <w:highlight w:val="white"/>
        </w:rPr>
        <w:t>ului social, elaborat cu respectarea modelului-cadru aprobat prin Hotărârea Guvernului nr. 867/2015, cu modificările şi completările ulterioare;</w:t>
      </w:r>
    </w:p>
    <w:p w14:paraId="0EE1C516" w14:textId="77777777" w:rsidR="00F639E9" w:rsidRDefault="00FA7BA0">
      <w:pPr>
        <w:ind w:left="0" w:hanging="2"/>
        <w:jc w:val="both"/>
        <w:rPr>
          <w:sz w:val="24"/>
          <w:szCs w:val="24"/>
          <w:highlight w:val="white"/>
        </w:rPr>
      </w:pPr>
      <w:r>
        <w:rPr>
          <w:b/>
          <w:i/>
          <w:color w:val="8B0000"/>
          <w:sz w:val="24"/>
          <w:szCs w:val="24"/>
          <w:highlight w:val="white"/>
        </w:rPr>
        <w:t xml:space="preserve">d) </w:t>
      </w:r>
      <w:r>
        <w:rPr>
          <w:i/>
          <w:color w:val="000000"/>
          <w:sz w:val="24"/>
          <w:szCs w:val="24"/>
          <w:highlight w:val="white"/>
        </w:rPr>
        <w:t>fotografii ale spaţiilor aferente desfăşurării serviciilor sociale, la data solicitării acreditării;</w:t>
      </w:r>
    </w:p>
    <w:p w14:paraId="065294BE" w14:textId="77777777" w:rsidR="00F639E9" w:rsidRDefault="00FA7BA0">
      <w:pPr>
        <w:ind w:left="0" w:hanging="2"/>
        <w:jc w:val="both"/>
        <w:rPr>
          <w:sz w:val="24"/>
          <w:szCs w:val="24"/>
          <w:highlight w:val="white"/>
        </w:rPr>
      </w:pPr>
      <w:r>
        <w:rPr>
          <w:b/>
          <w:i/>
          <w:color w:val="8B0000"/>
          <w:sz w:val="24"/>
          <w:szCs w:val="24"/>
          <w:highlight w:val="white"/>
        </w:rPr>
        <w:t xml:space="preserve">e) </w:t>
      </w:r>
      <w:r>
        <w:rPr>
          <w:i/>
          <w:color w:val="000000"/>
          <w:sz w:val="24"/>
          <w:szCs w:val="24"/>
          <w:highlight w:val="white"/>
        </w:rPr>
        <w:t>CV-ul unei persoane cu calificare în domeniul asistenţei sociale sau în managementul serviciilor sociale;</w:t>
      </w:r>
    </w:p>
    <w:p w14:paraId="2920F5E5" w14:textId="77777777" w:rsidR="00F639E9" w:rsidRDefault="00FA7BA0">
      <w:pPr>
        <w:ind w:left="0" w:hanging="2"/>
        <w:jc w:val="both"/>
        <w:rPr>
          <w:sz w:val="24"/>
          <w:szCs w:val="24"/>
          <w:highlight w:val="white"/>
        </w:rPr>
      </w:pPr>
      <w:r>
        <w:rPr>
          <w:b/>
          <w:i/>
          <w:color w:val="8B0000"/>
          <w:sz w:val="24"/>
          <w:szCs w:val="24"/>
          <w:highlight w:val="white"/>
        </w:rPr>
        <w:t xml:space="preserve">f) </w:t>
      </w:r>
      <w:r>
        <w:rPr>
          <w:i/>
          <w:color w:val="000000"/>
          <w:sz w:val="24"/>
          <w:szCs w:val="24"/>
          <w:highlight w:val="white"/>
        </w:rPr>
        <w:t xml:space="preserve">o copie de pe contractul de muncă sau contractul de prestări servicii încheiat cu persoana prevăzută la </w:t>
      </w:r>
      <w:r>
        <w:rPr>
          <w:i/>
          <w:color w:val="006400"/>
          <w:sz w:val="24"/>
          <w:szCs w:val="24"/>
          <w:highlight w:val="white"/>
          <w:u w:val="single"/>
        </w:rPr>
        <w:t>lit. e)</w:t>
      </w:r>
      <w:r>
        <w:rPr>
          <w:i/>
          <w:color w:val="000000"/>
          <w:sz w:val="24"/>
          <w:szCs w:val="24"/>
          <w:highlight w:val="white"/>
        </w:rPr>
        <w:t>;</w:t>
      </w:r>
    </w:p>
    <w:p w14:paraId="708626DC" w14:textId="77777777" w:rsidR="00F639E9" w:rsidRDefault="00FA7BA0">
      <w:pPr>
        <w:ind w:left="0" w:hanging="2"/>
        <w:jc w:val="both"/>
        <w:rPr>
          <w:sz w:val="24"/>
          <w:szCs w:val="24"/>
          <w:highlight w:val="white"/>
        </w:rPr>
      </w:pPr>
      <w:r>
        <w:rPr>
          <w:b/>
          <w:i/>
          <w:color w:val="8B0000"/>
          <w:sz w:val="24"/>
          <w:szCs w:val="24"/>
          <w:highlight w:val="white"/>
        </w:rPr>
        <w:t xml:space="preserve">g) </w:t>
      </w:r>
      <w:r>
        <w:rPr>
          <w:i/>
          <w:color w:val="000000"/>
          <w:sz w:val="24"/>
          <w:szCs w:val="24"/>
          <w:highlight w:val="white"/>
        </w:rPr>
        <w:t xml:space="preserve">angajamentul furnizorului de a </w:t>
      </w:r>
      <w:r>
        <w:rPr>
          <w:i/>
          <w:color w:val="000000"/>
          <w:sz w:val="24"/>
          <w:szCs w:val="24"/>
          <w:highlight w:val="white"/>
        </w:rPr>
        <w:t xml:space="preserve">notifica Ministerul Muncii şi Justiţiei Sociale sau, după caz, instituţiile din subordinea sa, respectiv Autoritatea Naţională pentru Protecţia Drepturilor </w:t>
      </w:r>
      <w:r>
        <w:rPr>
          <w:i/>
          <w:color w:val="000000"/>
          <w:sz w:val="24"/>
          <w:szCs w:val="24"/>
          <w:highlight w:val="white"/>
        </w:rPr>
        <w:lastRenderedPageBreak/>
        <w:t>Copilului şi Adopţie, Autoritatea Naţională pentru Persoanele cu Dizabilităţi şi Agenţia Naţională p</w:t>
      </w:r>
      <w:r>
        <w:rPr>
          <w:i/>
          <w:color w:val="000000"/>
          <w:sz w:val="24"/>
          <w:szCs w:val="24"/>
          <w:highlight w:val="white"/>
        </w:rPr>
        <w:t xml:space="preserve">entru Egalitatea de Şanse între Femei şi Bărbaţi, asupra oricăror modificări referitoare la serviciul social pentru care a obţinut licenţa de funcţionare intervenite după acordarea acesteia, completat după modelul prevăzut în </w:t>
      </w:r>
      <w:r>
        <w:rPr>
          <w:i/>
          <w:color w:val="006400"/>
          <w:sz w:val="24"/>
          <w:szCs w:val="24"/>
          <w:highlight w:val="white"/>
          <w:u w:val="single"/>
        </w:rPr>
        <w:t>anexa nr. 8</w:t>
      </w:r>
      <w:r>
        <w:rPr>
          <w:i/>
          <w:color w:val="000000"/>
          <w:sz w:val="24"/>
          <w:szCs w:val="24"/>
          <w:highlight w:val="white"/>
        </w:rPr>
        <w:t>, în funcţie de ben</w:t>
      </w:r>
      <w:r>
        <w:rPr>
          <w:i/>
          <w:color w:val="000000"/>
          <w:sz w:val="24"/>
          <w:szCs w:val="24"/>
          <w:highlight w:val="white"/>
        </w:rPr>
        <w:t>eficiarii serviciului social;</w:t>
      </w:r>
    </w:p>
    <w:p w14:paraId="658DA980" w14:textId="77777777" w:rsidR="00F639E9" w:rsidRDefault="00FA7BA0">
      <w:pPr>
        <w:ind w:left="0" w:hanging="2"/>
        <w:jc w:val="both"/>
        <w:rPr>
          <w:sz w:val="24"/>
          <w:szCs w:val="24"/>
        </w:rPr>
      </w:pPr>
      <w:r>
        <w:rPr>
          <w:b/>
          <w:i/>
          <w:color w:val="8B0000"/>
          <w:sz w:val="24"/>
          <w:szCs w:val="24"/>
          <w:highlight w:val="white"/>
        </w:rPr>
        <w:t xml:space="preserve">h) </w:t>
      </w:r>
      <w:r>
        <w:rPr>
          <w:i/>
          <w:color w:val="000000"/>
          <w:sz w:val="24"/>
          <w:szCs w:val="24"/>
          <w:highlight w:val="white"/>
        </w:rPr>
        <w:t>planul de urgenţă în caz de retragere a licenţei de funcţionare/desfiinţare serviciu social, dacă este prevăzut în standardul minim de calitate aplicabil.</w:t>
      </w:r>
      <w:r>
        <w:rPr>
          <w:b/>
          <w:sz w:val="24"/>
          <w:szCs w:val="24"/>
        </w:rPr>
        <w:t>”</w:t>
      </w:r>
    </w:p>
    <w:p w14:paraId="06AC7CC7" w14:textId="77777777" w:rsidR="00F639E9" w:rsidRDefault="00FA7BA0">
      <w:pPr>
        <w:ind w:left="0" w:hanging="2"/>
        <w:jc w:val="both"/>
        <w:rPr>
          <w:sz w:val="24"/>
          <w:szCs w:val="24"/>
          <w:highlight w:val="white"/>
        </w:rPr>
      </w:pPr>
      <w:r>
        <w:rPr>
          <w:color w:val="8B0000"/>
          <w:sz w:val="24"/>
          <w:szCs w:val="24"/>
          <w:highlight w:val="white"/>
        </w:rPr>
        <w:t>Prin urmare,</w:t>
      </w:r>
      <w:r>
        <w:rPr>
          <w:b/>
          <w:i/>
          <w:color w:val="8B0000"/>
          <w:sz w:val="24"/>
          <w:szCs w:val="24"/>
          <w:highlight w:val="white"/>
        </w:rPr>
        <w:t xml:space="preserve"> avizele de la DSP, DSV și ISU nu mai sunt componente a</w:t>
      </w:r>
      <w:r>
        <w:rPr>
          <w:b/>
          <w:i/>
          <w:color w:val="8B0000"/>
          <w:sz w:val="24"/>
          <w:szCs w:val="24"/>
          <w:highlight w:val="white"/>
        </w:rPr>
        <w:t xml:space="preserve">le dosarului de licențiere. </w:t>
      </w:r>
    </w:p>
    <w:p w14:paraId="43BCDA7E" w14:textId="79996CB3" w:rsidR="00F639E9" w:rsidRDefault="00F639E9" w:rsidP="00FA7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F639E9">
      <w:pgSz w:w="11906" w:h="16838"/>
      <w:pgMar w:top="426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13CDF"/>
    <w:multiLevelType w:val="multilevel"/>
    <w:tmpl w:val="0982413C"/>
    <w:lvl w:ilvl="0">
      <w:start w:val="1"/>
      <w:numFmt w:val="bullet"/>
      <w:lvlText w:val="➢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39E9"/>
    <w:rsid w:val="00F639E9"/>
    <w:rsid w:val="00F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CE4A"/>
  <w15:docId w15:val="{3699F0A3-D3D4-4A1F-ADEE-25C58B2B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deparagrafimplicit">
    <w:name w:val="Font de paragraf implicit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Normal">
    <w:name w:val="Tabel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">
    <w:name w:val="Fără Listare"/>
    <w:qFormat/>
  </w:style>
  <w:style w:type="paragraph" w:customStyle="1" w:styleId="Frspaiere">
    <w:name w:val="Fără spațier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salnttl1">
    <w:name w:val="s_aln_ttl1"/>
    <w:rPr>
      <w:rFonts w:ascii="Verdana" w:hAnsi="Verdana" w:hint="default"/>
      <w:b/>
      <w:bCs/>
      <w:color w:val="8B0000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character" w:customStyle="1" w:styleId="salnbdy">
    <w:name w:val="s_aln_bdy"/>
    <w:rPr>
      <w:rFonts w:ascii="Verdana" w:hAnsi="Verdana" w:hint="default"/>
      <w:color w:val="000000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character" w:customStyle="1" w:styleId="slgi1">
    <w:name w:val="s_lgi1"/>
    <w:rPr>
      <w:rFonts w:ascii="Verdana" w:hAnsi="Verdana" w:hint="default"/>
      <w:color w:val="006400"/>
      <w:w w:val="100"/>
      <w:position w:val="-1"/>
      <w:sz w:val="20"/>
      <w:szCs w:val="20"/>
      <w:u w:val="single"/>
      <w:effect w:val="none"/>
      <w:shd w:val="clear" w:color="auto" w:fill="FFFFFF"/>
      <w:vertAlign w:val="baseline"/>
      <w:cs w:val="0"/>
      <w:em w:val="none"/>
    </w:rPr>
  </w:style>
  <w:style w:type="character" w:customStyle="1" w:styleId="slitttl1">
    <w:name w:val="s_lit_ttl1"/>
    <w:rPr>
      <w:rFonts w:ascii="Verdana" w:hAnsi="Verdana" w:hint="default"/>
      <w:b/>
      <w:bCs/>
      <w:color w:val="8B0000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character" w:customStyle="1" w:styleId="slitbdy">
    <w:name w:val="s_lit_bdy"/>
    <w:rPr>
      <w:rFonts w:ascii="Verdana" w:hAnsi="Verdana" w:hint="default"/>
      <w:color w:val="000000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iuneNerezolvat">
    <w:name w:val="Mențiune Nerezolvat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et@cjsibiu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ziuaonline@outlook.com</cp:lastModifiedBy>
  <cp:revision>3</cp:revision>
  <dcterms:created xsi:type="dcterms:W3CDTF">2021-11-17T00:14:00Z</dcterms:created>
  <dcterms:modified xsi:type="dcterms:W3CDTF">2021-11-17T00:14:00Z</dcterms:modified>
</cp:coreProperties>
</file>