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CC5E" w14:textId="77777777" w:rsidR="006A5E2E" w:rsidRDefault="006F123C">
      <w:pPr>
        <w:spacing w:after="120" w:line="276" w:lineRule="auto"/>
        <w:ind w:left="0" w:hanging="2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</w:t>
      </w:r>
      <w:r>
        <w:rPr>
          <w:b/>
        </w:rPr>
        <w:t>Nr. 218/221/SCMMRP/11.11.2021</w:t>
      </w:r>
    </w:p>
    <w:p w14:paraId="334F0146" w14:textId="77777777" w:rsidR="006A5E2E" w:rsidRDefault="006F123C">
      <w:pPr>
        <w:spacing w:after="120" w:line="276" w:lineRule="auto"/>
        <w:ind w:left="0" w:hanging="2"/>
        <w:jc w:val="both"/>
      </w:pPr>
      <w:r>
        <w:t xml:space="preserve">  </w:t>
      </w:r>
    </w:p>
    <w:p w14:paraId="78F0AD13" w14:textId="77777777" w:rsidR="006A5E2E" w:rsidRDefault="006A5E2E">
      <w:pPr>
        <w:spacing w:after="120" w:line="276" w:lineRule="auto"/>
        <w:ind w:left="0" w:hanging="2"/>
        <w:jc w:val="both"/>
        <w:rPr>
          <w:sz w:val="16"/>
          <w:szCs w:val="16"/>
        </w:rPr>
      </w:pPr>
    </w:p>
    <w:p w14:paraId="442C9927" w14:textId="3D7EF9BE" w:rsidR="006A5E2E" w:rsidRDefault="006F123C">
      <w:pPr>
        <w:spacing w:after="120" w:line="276" w:lineRule="auto"/>
        <w:ind w:left="0" w:hanging="2"/>
        <w:jc w:val="both"/>
      </w:pPr>
      <w:proofErr w:type="spellStart"/>
      <w:r>
        <w:rPr>
          <w:b/>
        </w:rPr>
        <w:t>Către</w:t>
      </w:r>
      <w:proofErr w:type="spellEnd"/>
      <w:r>
        <w:rPr>
          <w:b/>
        </w:rPr>
        <w:t>:</w:t>
      </w:r>
      <w:r>
        <w:t xml:space="preserve"> </w:t>
      </w:r>
      <w:r>
        <w:tab/>
      </w:r>
      <w:proofErr w:type="spellStart"/>
      <w:r>
        <w:t>Domnul</w:t>
      </w:r>
      <w:proofErr w:type="spellEnd"/>
      <w:r>
        <w:t xml:space="preserve"> </w:t>
      </w:r>
    </w:p>
    <w:p w14:paraId="7DFC52B1" w14:textId="77777777" w:rsidR="006A5E2E" w:rsidRDefault="006F123C">
      <w:pPr>
        <w:spacing w:after="120" w:line="276" w:lineRule="auto"/>
        <w:ind w:left="0" w:hanging="2"/>
        <w:jc w:val="both"/>
      </w:pPr>
      <w:r>
        <w:tab/>
      </w:r>
      <w:r>
        <w:tab/>
        <w:t>Ziua-online.ro</w:t>
      </w:r>
    </w:p>
    <w:p w14:paraId="53FD5539" w14:textId="77777777" w:rsidR="006A5E2E" w:rsidRDefault="006F123C">
      <w:pPr>
        <w:spacing w:after="120" w:line="276" w:lineRule="auto"/>
        <w:ind w:left="0" w:hanging="2"/>
        <w:jc w:val="both"/>
      </w:pPr>
      <w:r>
        <w:rPr>
          <w:b/>
        </w:rPr>
        <w:t>Ref:</w:t>
      </w:r>
      <w:r>
        <w:rPr>
          <w:b/>
        </w:rPr>
        <w:tab/>
      </w:r>
      <w:proofErr w:type="spellStart"/>
      <w:r>
        <w:t>Solicitare</w:t>
      </w:r>
      <w:proofErr w:type="spellEnd"/>
      <w:r>
        <w:t xml:space="preserve"> </w:t>
      </w:r>
      <w:proofErr w:type="spellStart"/>
      <w:r>
        <w:t>informații</w:t>
      </w:r>
      <w:proofErr w:type="spellEnd"/>
    </w:p>
    <w:p w14:paraId="38BB4E8A" w14:textId="77777777" w:rsidR="006A5E2E" w:rsidRDefault="006A5E2E">
      <w:pPr>
        <w:spacing w:after="120" w:line="276" w:lineRule="auto"/>
        <w:ind w:left="0" w:hanging="2"/>
        <w:jc w:val="both"/>
      </w:pPr>
    </w:p>
    <w:p w14:paraId="04C0CE04" w14:textId="77777777" w:rsidR="006A5E2E" w:rsidRDefault="006A5E2E">
      <w:pPr>
        <w:spacing w:after="120" w:line="276" w:lineRule="auto"/>
        <w:ind w:left="0" w:hanging="2"/>
        <w:jc w:val="both"/>
      </w:pPr>
    </w:p>
    <w:p w14:paraId="73AC26AC" w14:textId="021D6A2D" w:rsidR="006A5E2E" w:rsidRDefault="006F123C">
      <w:pPr>
        <w:spacing w:after="120" w:line="276" w:lineRule="auto"/>
        <w:ind w:left="0" w:hanging="2"/>
        <w:jc w:val="both"/>
      </w:pPr>
      <w:proofErr w:type="spellStart"/>
      <w:r>
        <w:rPr>
          <w:b/>
        </w:rPr>
        <w:t>Stimate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domnule</w:t>
      </w:r>
      <w:proofErr w:type="spellEnd"/>
      <w:r>
        <w:rPr>
          <w:b/>
        </w:rPr>
        <w:t xml:space="preserve"> </w:t>
      </w:r>
    </w:p>
    <w:p w14:paraId="2E548FAB" w14:textId="77777777" w:rsidR="006A5E2E" w:rsidRDefault="006F123C">
      <w:pPr>
        <w:spacing w:after="120" w:line="276" w:lineRule="auto"/>
        <w:ind w:left="0" w:hanging="2"/>
        <w:jc w:val="both"/>
      </w:pPr>
      <w:r>
        <w:t xml:space="preserve">La </w:t>
      </w:r>
      <w:proofErr w:type="spellStart"/>
      <w:r>
        <w:t>solicitările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,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la MMPS cu nr. 218/SCMMRP/03.11.2021, </w:t>
      </w:r>
      <w:proofErr w:type="spellStart"/>
      <w:r>
        <w:t>respectiv</w:t>
      </w:r>
      <w:proofErr w:type="spellEnd"/>
      <w:r>
        <w:t xml:space="preserve"> 221/04.11.2021,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</w:t>
      </w:r>
      <w:proofErr w:type="spellStart"/>
      <w:r>
        <w:t>Autoritatea</w:t>
      </w:r>
      <w:proofErr w:type="spellEnd"/>
      <w:r>
        <w:t xml:space="preserve">  </w:t>
      </w:r>
      <w:proofErr w:type="spellStart"/>
      <w:r>
        <w:t>Națională</w:t>
      </w:r>
      <w:proofErr w:type="spellEnd"/>
      <w:r>
        <w:t xml:space="preserve">  </w:t>
      </w:r>
      <w:proofErr w:type="spellStart"/>
      <w:r>
        <w:t>pentru</w:t>
      </w:r>
      <w:proofErr w:type="spellEnd"/>
      <w:r>
        <w:t xml:space="preserve">  </w:t>
      </w:r>
      <w:proofErr w:type="spellStart"/>
      <w:r>
        <w:t>Drepturile</w:t>
      </w:r>
      <w:proofErr w:type="spellEnd"/>
      <w:r>
        <w:t xml:space="preserve">  </w:t>
      </w:r>
      <w:proofErr w:type="spellStart"/>
      <w:r>
        <w:t>Persoanelor</w:t>
      </w:r>
      <w:proofErr w:type="spellEnd"/>
      <w:r>
        <w:t xml:space="preserve">  cu  </w:t>
      </w:r>
      <w:proofErr w:type="spellStart"/>
      <w:r>
        <w:t>Dizabilităț</w:t>
      </w:r>
      <w:r>
        <w:t>i</w:t>
      </w:r>
      <w:proofErr w:type="spellEnd"/>
      <w:r>
        <w:t xml:space="preserve">, </w:t>
      </w:r>
      <w:proofErr w:type="spellStart"/>
      <w:r>
        <w:t>Copii</w:t>
      </w:r>
      <w:proofErr w:type="spellEnd"/>
      <w:r>
        <w:t xml:space="preserve">  </w:t>
      </w:r>
      <w:proofErr w:type="spellStart"/>
      <w:r>
        <w:t>și</w:t>
      </w:r>
      <w:proofErr w:type="spellEnd"/>
      <w:r>
        <w:t xml:space="preserve">  </w:t>
      </w:r>
      <w:proofErr w:type="spellStart"/>
      <w:r>
        <w:t>Adopții</w:t>
      </w:r>
      <w:proofErr w:type="spellEnd"/>
      <w:r>
        <w:t xml:space="preserve"> (ANDPDCA) </w:t>
      </w:r>
      <w:proofErr w:type="spellStart"/>
      <w:r>
        <w:t>și</w:t>
      </w:r>
      <w:proofErr w:type="spellEnd"/>
      <w:r>
        <w:t xml:space="preserve"> de la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(ANPIS), </w:t>
      </w:r>
      <w:proofErr w:type="spellStart"/>
      <w:r>
        <w:t>următoarele</w:t>
      </w:r>
      <w:proofErr w:type="spellEnd"/>
      <w:r>
        <w:t>:</w:t>
      </w:r>
    </w:p>
    <w:p w14:paraId="7D185E45" w14:textId="77777777" w:rsidR="006A5E2E" w:rsidRDefault="006A5E2E">
      <w:pPr>
        <w:ind w:left="0" w:hanging="2"/>
        <w:rPr>
          <w:sz w:val="16"/>
          <w:szCs w:val="16"/>
        </w:rPr>
      </w:pPr>
    </w:p>
    <w:p w14:paraId="2AE58463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4214A59A" w14:textId="77777777" w:rsidR="006A5E2E" w:rsidRDefault="006F123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…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rugăm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ne </w:t>
      </w:r>
      <w:proofErr w:type="spellStart"/>
      <w:r>
        <w:rPr>
          <w:b/>
          <w:sz w:val="24"/>
          <w:szCs w:val="24"/>
        </w:rPr>
        <w:t>comunicați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casele</w:t>
      </w:r>
      <w:proofErr w:type="spellEnd"/>
      <w:r>
        <w:rPr>
          <w:b/>
          <w:sz w:val="24"/>
          <w:szCs w:val="24"/>
        </w:rPr>
        <w:t xml:space="preserve"> de tip familial </w:t>
      </w:r>
      <w:proofErr w:type="spellStart"/>
      <w:r>
        <w:rPr>
          <w:b/>
          <w:sz w:val="24"/>
          <w:szCs w:val="24"/>
        </w:rPr>
        <w:t>licențiate</w:t>
      </w:r>
      <w:proofErr w:type="spellEnd"/>
      <w:r>
        <w:rPr>
          <w:b/>
          <w:sz w:val="24"/>
          <w:szCs w:val="24"/>
        </w:rPr>
        <w:t xml:space="preserve"> ,,Jenny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Tabita"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,,PAMIPA" au </w:t>
      </w:r>
      <w:proofErr w:type="spellStart"/>
      <w:r>
        <w:rPr>
          <w:b/>
          <w:sz w:val="24"/>
          <w:szCs w:val="24"/>
        </w:rPr>
        <w:t>licență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funcționare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vizorie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funcționare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eliberării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fiecărei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având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 11 din </w:t>
      </w:r>
      <w:proofErr w:type="spellStart"/>
      <w:r>
        <w:rPr>
          <w:b/>
          <w:sz w:val="24"/>
          <w:szCs w:val="24"/>
        </w:rPr>
        <w:t>lege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stabilește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licențierea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efectuează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 xml:space="preserve">. 5). Conform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 xml:space="preserve">. 4 care </w:t>
      </w:r>
      <w:proofErr w:type="spellStart"/>
      <w:r>
        <w:rPr>
          <w:b/>
          <w:sz w:val="24"/>
          <w:szCs w:val="24"/>
        </w:rPr>
        <w:t>stabilește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obligația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solicitării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licențierii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către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furnizor</w:t>
      </w:r>
      <w:proofErr w:type="spellEnd"/>
      <w:r>
        <w:rPr>
          <w:b/>
          <w:sz w:val="24"/>
          <w:szCs w:val="24"/>
        </w:rPr>
        <w:t xml:space="preserve"> cu 60 de </w:t>
      </w:r>
      <w:proofErr w:type="spellStart"/>
      <w:r>
        <w:rPr>
          <w:b/>
          <w:sz w:val="24"/>
          <w:szCs w:val="24"/>
        </w:rPr>
        <w:t>zile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înaintea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funcțiune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serviciului</w:t>
      </w:r>
      <w:proofErr w:type="spellEnd"/>
      <w:r>
        <w:rPr>
          <w:b/>
          <w:sz w:val="24"/>
          <w:szCs w:val="24"/>
        </w:rPr>
        <w:t xml:space="preserve"> social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considerăm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important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ne </w:t>
      </w:r>
      <w:proofErr w:type="spellStart"/>
      <w:r>
        <w:rPr>
          <w:b/>
          <w:sz w:val="24"/>
          <w:szCs w:val="24"/>
        </w:rPr>
        <w:t>comunicați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numărul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înregistrare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solicitării</w:t>
      </w:r>
      <w:proofErr w:type="spellEnd"/>
      <w:r>
        <w:rPr>
          <w:b/>
          <w:sz w:val="24"/>
          <w:szCs w:val="24"/>
        </w:rPr>
        <w:t>.”</w:t>
      </w:r>
    </w:p>
    <w:p w14:paraId="2D21E468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08442CFF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Serviciilor</w:t>
      </w:r>
      <w:proofErr w:type="spellEnd"/>
      <w:r>
        <w:t xml:space="preserve"> </w:t>
      </w:r>
      <w:proofErr w:type="spellStart"/>
      <w:r>
        <w:t>so</w:t>
      </w:r>
      <w:r>
        <w:t>ciale</w:t>
      </w:r>
      <w:proofErr w:type="spellEnd"/>
      <w:r>
        <w:t xml:space="preserve"> „Casa Jenny </w:t>
      </w:r>
      <w:proofErr w:type="spellStart"/>
      <w:r>
        <w:t>și</w:t>
      </w:r>
      <w:proofErr w:type="spellEnd"/>
      <w:r>
        <w:t xml:space="preserve"> Tabita” </w:t>
      </w:r>
      <w:proofErr w:type="spellStart"/>
      <w:r>
        <w:t>și</w:t>
      </w:r>
      <w:proofErr w:type="spellEnd"/>
      <w:r>
        <w:t xml:space="preserve"> „Casa </w:t>
      </w:r>
      <w:proofErr w:type="spellStart"/>
      <w:r>
        <w:t>Pamipa</w:t>
      </w:r>
      <w:proofErr w:type="spellEnd"/>
      <w:r>
        <w:t xml:space="preserve">” le-au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</w:t>
      </w:r>
      <w:proofErr w:type="spellStart"/>
      <w:r>
        <w:t>licențe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17.07.2020. </w:t>
      </w:r>
    </w:p>
    <w:p w14:paraId="3A7EE37E" w14:textId="77777777" w:rsidR="006A5E2E" w:rsidRDefault="006F123C">
      <w:pPr>
        <w:spacing w:after="120" w:line="276" w:lineRule="auto"/>
        <w:ind w:left="0" w:hanging="2"/>
        <w:jc w:val="both"/>
      </w:pPr>
      <w:r>
        <w:t xml:space="preserve">Conform </w:t>
      </w:r>
      <w:proofErr w:type="spellStart"/>
      <w:r>
        <w:t>prevederilor</w:t>
      </w:r>
      <w:proofErr w:type="spellEnd"/>
      <w:r>
        <w:t xml:space="preserve"> art. 4 </w:t>
      </w:r>
      <w:proofErr w:type="spellStart"/>
      <w:r>
        <w:t>alin</w:t>
      </w:r>
      <w:proofErr w:type="spellEnd"/>
      <w:r>
        <w:t xml:space="preserve">. (5) din </w:t>
      </w:r>
      <w:proofErr w:type="spellStart"/>
      <w:r>
        <w:t>Legea</w:t>
      </w:r>
      <w:proofErr w:type="spellEnd"/>
      <w:r>
        <w:t xml:space="preserve"> nr.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</w:t>
      </w:r>
      <w:r>
        <w:t>i</w:t>
      </w:r>
      <w:proofErr w:type="spellEnd"/>
      <w:r>
        <w:t xml:space="preserve"> de COVID-19,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entitățile</w:t>
      </w:r>
      <w:proofErr w:type="spellEnd"/>
      <w:r>
        <w:t xml:space="preserve"> private </w:t>
      </w:r>
      <w:proofErr w:type="spellStart"/>
      <w:r>
        <w:t>autorizate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se </w:t>
      </w:r>
      <w:proofErr w:type="spellStart"/>
      <w:r>
        <w:t>menține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alertă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90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a</w:t>
      </w:r>
      <w:r>
        <w:t>cestei</w:t>
      </w:r>
      <w:proofErr w:type="spellEnd"/>
      <w:r>
        <w:t xml:space="preserve"> </w:t>
      </w:r>
      <w:proofErr w:type="spellStart"/>
      <w:r>
        <w:t>stări</w:t>
      </w:r>
      <w:proofErr w:type="spellEnd"/>
      <w:r>
        <w:t xml:space="preserve">. Mai </w:t>
      </w:r>
      <w:proofErr w:type="spellStart"/>
      <w:r>
        <w:t>mult</w:t>
      </w:r>
      <w:proofErr w:type="spellEnd"/>
      <w:r>
        <w:t xml:space="preserve">, </w:t>
      </w:r>
      <w:proofErr w:type="spellStart"/>
      <w:r>
        <w:t>caselor</w:t>
      </w:r>
      <w:proofErr w:type="spellEnd"/>
      <w:r>
        <w:t xml:space="preserve"> de tip familial la care se face </w:t>
      </w:r>
      <w:proofErr w:type="spellStart"/>
      <w:r>
        <w:t>referire</w:t>
      </w:r>
      <w:proofErr w:type="spellEnd"/>
      <w:r>
        <w:t xml:space="preserve">,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licențiere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le sunt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(5) ale art. 11 din </w:t>
      </w:r>
      <w:proofErr w:type="spellStart"/>
      <w:r>
        <w:t>Legea</w:t>
      </w:r>
      <w:proofErr w:type="spellEnd"/>
      <w:r>
        <w:t xml:space="preserve"> nr. 197/2012,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nu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</w:t>
      </w:r>
      <w:r>
        <w:t>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relicențiere</w:t>
      </w:r>
      <w:proofErr w:type="spellEnd"/>
      <w:r>
        <w:t xml:space="preserve"> cu 60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</w:t>
      </w:r>
      <w:proofErr w:type="spellEnd"/>
      <w:r>
        <w:t>.</w:t>
      </w:r>
    </w:p>
    <w:p w14:paraId="30EA1CBC" w14:textId="77777777" w:rsidR="006A5E2E" w:rsidRDefault="006A5E2E">
      <w:pPr>
        <w:ind w:left="0" w:hanging="2"/>
        <w:rPr>
          <w:sz w:val="24"/>
          <w:szCs w:val="24"/>
        </w:rPr>
      </w:pPr>
    </w:p>
    <w:p w14:paraId="205D2879" w14:textId="77777777" w:rsidR="006A5E2E" w:rsidRDefault="006A5E2E">
      <w:pPr>
        <w:ind w:left="0" w:hanging="2"/>
        <w:rPr>
          <w:sz w:val="24"/>
          <w:szCs w:val="24"/>
        </w:rPr>
      </w:pPr>
    </w:p>
    <w:p w14:paraId="30E66B12" w14:textId="77777777" w:rsidR="006A5E2E" w:rsidRDefault="006A5E2E">
      <w:pPr>
        <w:ind w:left="0" w:hanging="2"/>
        <w:rPr>
          <w:sz w:val="24"/>
          <w:szCs w:val="24"/>
        </w:rPr>
      </w:pPr>
    </w:p>
    <w:p w14:paraId="12A66576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148F2421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Având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 11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 xml:space="preserve">. 6 din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sus-</w:t>
      </w:r>
      <w:proofErr w:type="spellStart"/>
      <w:r>
        <w:rPr>
          <w:b/>
          <w:sz w:val="24"/>
          <w:szCs w:val="24"/>
        </w:rPr>
        <w:t>menționată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rugăm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ne </w:t>
      </w:r>
      <w:proofErr w:type="spellStart"/>
      <w:r>
        <w:rPr>
          <w:b/>
          <w:sz w:val="24"/>
          <w:szCs w:val="24"/>
        </w:rPr>
        <w:t>comunicați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evaluării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efectuată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licențierii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inițiale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</w:t>
      </w:r>
      <w:r>
        <w:rPr>
          <w:b/>
          <w:sz w:val="24"/>
          <w:szCs w:val="24"/>
        </w:rPr>
        <w:t>tatării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conformității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datele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justificative, </w:t>
      </w:r>
      <w:proofErr w:type="spellStart"/>
      <w:r>
        <w:rPr>
          <w:b/>
          <w:sz w:val="24"/>
          <w:szCs w:val="24"/>
        </w:rPr>
        <w:t>fisa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autoevaluare</w:t>
      </w:r>
      <w:proofErr w:type="spellEnd"/>
      <w:r>
        <w:rPr>
          <w:b/>
          <w:sz w:val="24"/>
          <w:szCs w:val="24"/>
        </w:rPr>
        <w:t>.”</w:t>
      </w:r>
    </w:p>
    <w:p w14:paraId="5269CBAC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3FB75C7A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valabilității</w:t>
      </w:r>
      <w:proofErr w:type="spellEnd"/>
      <w:r>
        <w:t xml:space="preserve"> </w:t>
      </w:r>
      <w:proofErr w:type="spellStart"/>
      <w:r>
        <w:t>licenței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 xml:space="preserve">,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So</w:t>
      </w:r>
      <w:r>
        <w:t>cială</w:t>
      </w:r>
      <w:proofErr w:type="spellEnd"/>
      <w:r>
        <w:t xml:space="preserve">  (AJPIS)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care a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licența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 xml:space="preserve">, </w:t>
      </w:r>
      <w:proofErr w:type="spellStart"/>
      <w:r>
        <w:t>rapoartele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care </w:t>
      </w:r>
      <w:proofErr w:type="spellStart"/>
      <w:r>
        <w:t>conțin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de </w:t>
      </w:r>
      <w:proofErr w:type="spellStart"/>
      <w:r>
        <w:t>eliberare</w:t>
      </w:r>
      <w:proofErr w:type="spellEnd"/>
      <w:r>
        <w:t xml:space="preserve"> a </w:t>
      </w:r>
      <w:proofErr w:type="spellStart"/>
      <w:r>
        <w:t>licenței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a </w:t>
      </w:r>
      <w:proofErr w:type="spellStart"/>
      <w:r>
        <w:t>licenței</w:t>
      </w:r>
      <w:proofErr w:type="spellEnd"/>
      <w:r>
        <w:t xml:space="preserve"> de </w:t>
      </w:r>
      <w:proofErr w:type="spellStart"/>
      <w:r>
        <w:t>funcționar</w:t>
      </w:r>
      <w:r>
        <w:t>e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>.</w:t>
      </w:r>
    </w:p>
    <w:p w14:paraId="786389BC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Ț</w:t>
      </w:r>
      <w:r>
        <w:t>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epidemiologică</w:t>
      </w:r>
      <w:proofErr w:type="spellEnd"/>
      <w:r>
        <w:t xml:space="preserve"> </w:t>
      </w:r>
      <w:proofErr w:type="spellStart"/>
      <w:r>
        <w:t>existentă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moment ANDPDCA nu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rapoartele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cu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inspectorilor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ai AJPIS Sibiu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Casele</w:t>
      </w:r>
      <w:proofErr w:type="spellEnd"/>
      <w:r>
        <w:t xml:space="preserve"> de tip familial la care se face </w:t>
      </w:r>
      <w:proofErr w:type="spellStart"/>
      <w:r>
        <w:t>referire</w:t>
      </w:r>
      <w:proofErr w:type="spellEnd"/>
      <w:r>
        <w:t>.</w:t>
      </w:r>
    </w:p>
    <w:p w14:paraId="1DA7F433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Menționăm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</w:t>
      </w:r>
      <w:r>
        <w:t>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sunt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dispozițiile</w:t>
      </w:r>
      <w:proofErr w:type="spellEnd"/>
      <w:r>
        <w:t xml:space="preserve"> art. 4 </w:t>
      </w:r>
      <w:proofErr w:type="spellStart"/>
      <w:r>
        <w:t>alin</w:t>
      </w:r>
      <w:proofErr w:type="spellEnd"/>
      <w:r>
        <w:t xml:space="preserve">. (5) din </w:t>
      </w:r>
      <w:proofErr w:type="spellStart"/>
      <w:r>
        <w:t>Legea</w:t>
      </w:r>
      <w:proofErr w:type="spellEnd"/>
      <w:r>
        <w:t xml:space="preserve"> nr.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COVID-19,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menționate</w:t>
      </w:r>
      <w:proofErr w:type="spellEnd"/>
      <w:r>
        <w:t>.</w:t>
      </w:r>
    </w:p>
    <w:p w14:paraId="4F500897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Menționăm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ANPIS, </w:t>
      </w:r>
      <w:proofErr w:type="spellStart"/>
      <w:r>
        <w:t>inspectorii</w:t>
      </w:r>
      <w:proofErr w:type="spellEnd"/>
      <w:r>
        <w:t xml:space="preserve"> </w:t>
      </w:r>
      <w:proofErr w:type="spellStart"/>
      <w:r>
        <w:t>soc</w:t>
      </w:r>
      <w:r>
        <w:t>iali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AJPIS Sibiu au </w:t>
      </w:r>
      <w:proofErr w:type="spellStart"/>
      <w:r>
        <w:t>planificat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, care nu a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se </w:t>
      </w:r>
      <w:proofErr w:type="spellStart"/>
      <w:r>
        <w:t>aflau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carantină</w:t>
      </w:r>
      <w:proofErr w:type="spellEnd"/>
      <w:r>
        <w:t xml:space="preserve"> </w:t>
      </w:r>
      <w:proofErr w:type="spellStart"/>
      <w:r>
        <w:t>dispusă</w:t>
      </w:r>
      <w:proofErr w:type="spellEnd"/>
      <w:r>
        <w:t xml:space="preserve"> de DSP Sibiu. </w:t>
      </w:r>
      <w:proofErr w:type="spellStart"/>
      <w:r>
        <w:t>Controlul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reprogramat</w:t>
      </w:r>
      <w:proofErr w:type="spellEnd"/>
      <w:r>
        <w:t xml:space="preserve"> la o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</w:t>
      </w:r>
      <w:proofErr w:type="spellStart"/>
      <w:r>
        <w:t>ieșirii</w:t>
      </w:r>
      <w:proofErr w:type="spellEnd"/>
      <w:r>
        <w:t xml:space="preserve"> din </w:t>
      </w:r>
      <w:proofErr w:type="spellStart"/>
      <w:r>
        <w:t>carantină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minist</w:t>
      </w:r>
      <w:r>
        <w:t>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Raluca </w:t>
      </w:r>
      <w:proofErr w:type="spellStart"/>
      <w:r>
        <w:t>Turcan</w:t>
      </w:r>
      <w:proofErr w:type="spellEnd"/>
      <w:r>
        <w:t xml:space="preserve">,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ANPIS ca </w:t>
      </w:r>
      <w:proofErr w:type="spellStart"/>
      <w:r>
        <w:t>deplasarea</w:t>
      </w:r>
      <w:proofErr w:type="spellEnd"/>
      <w:r>
        <w:t xml:space="preserve"> la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facă</w:t>
      </w:r>
      <w:proofErr w:type="spellEnd"/>
      <w:r>
        <w:t xml:space="preserve"> de </w:t>
      </w:r>
      <w:proofErr w:type="spellStart"/>
      <w:r>
        <w:t>îndată</w:t>
      </w:r>
      <w:proofErr w:type="spellEnd"/>
      <w:r>
        <w:t>.</w:t>
      </w:r>
    </w:p>
    <w:p w14:paraId="4C666E4F" w14:textId="77777777" w:rsidR="006A5E2E" w:rsidRDefault="006A5E2E">
      <w:pPr>
        <w:ind w:left="0" w:hanging="2"/>
        <w:rPr>
          <w:sz w:val="24"/>
          <w:szCs w:val="24"/>
        </w:rPr>
      </w:pPr>
    </w:p>
    <w:p w14:paraId="10A2A44B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4A8591AF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”</w:t>
      </w:r>
      <w:proofErr w:type="spellStart"/>
      <w:r>
        <w:rPr>
          <w:b/>
          <w:sz w:val="24"/>
          <w:szCs w:val="24"/>
        </w:rPr>
        <w:t>Documentul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atestă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dreptul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administrare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folosință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asupra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funcționează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soci</w:t>
      </w:r>
      <w:r>
        <w:rPr>
          <w:b/>
          <w:sz w:val="24"/>
          <w:szCs w:val="24"/>
        </w:rPr>
        <w:t xml:space="preserve">al cum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fi CF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informare</w:t>
      </w:r>
      <w:proofErr w:type="spellEnd"/>
      <w:r>
        <w:rPr>
          <w:b/>
          <w:sz w:val="24"/>
          <w:szCs w:val="24"/>
        </w:rPr>
        <w:t xml:space="preserve">, contract </w:t>
      </w:r>
      <w:proofErr w:type="spellStart"/>
      <w:r>
        <w:rPr>
          <w:b/>
          <w:sz w:val="24"/>
          <w:szCs w:val="24"/>
        </w:rPr>
        <w:t>încheiat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forma </w:t>
      </w:r>
      <w:proofErr w:type="spellStart"/>
      <w:r>
        <w:rPr>
          <w:b/>
          <w:sz w:val="24"/>
          <w:szCs w:val="24"/>
        </w:rPr>
        <w:t>autentică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presupune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verificarea</w:t>
      </w:r>
      <w:proofErr w:type="spellEnd"/>
      <w:r>
        <w:rPr>
          <w:b/>
          <w:sz w:val="24"/>
          <w:szCs w:val="24"/>
        </w:rPr>
        <w:t xml:space="preserve"> CF-</w:t>
      </w:r>
      <w:proofErr w:type="spellStart"/>
      <w:r>
        <w:rPr>
          <w:b/>
          <w:sz w:val="24"/>
          <w:szCs w:val="24"/>
        </w:rPr>
        <w:t>ului</w:t>
      </w:r>
      <w:proofErr w:type="spellEnd"/>
      <w:r>
        <w:rPr>
          <w:b/>
          <w:sz w:val="24"/>
          <w:szCs w:val="24"/>
        </w:rPr>
        <w:t xml:space="preserve">.” </w:t>
      </w:r>
    </w:p>
    <w:p w14:paraId="0132C882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1442E637" w14:textId="77777777" w:rsidR="006A5E2E" w:rsidRDefault="006F123C">
      <w:pPr>
        <w:spacing w:after="120" w:line="276" w:lineRule="auto"/>
        <w:ind w:left="0" w:hanging="2"/>
        <w:jc w:val="both"/>
      </w:pPr>
      <w:r>
        <w:t xml:space="preserve">Conform </w:t>
      </w:r>
      <w:proofErr w:type="spellStart"/>
      <w:r>
        <w:t>prevederilor</w:t>
      </w:r>
      <w:proofErr w:type="spellEnd"/>
      <w:r>
        <w:t xml:space="preserve"> art. 18 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118/2014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197/2012,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, de </w:t>
      </w:r>
      <w:proofErr w:type="spellStart"/>
      <w:r>
        <w:t>concesiune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spațiului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funcționează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social, cum </w:t>
      </w:r>
      <w:proofErr w:type="spellStart"/>
      <w:r>
        <w:t>ar</w:t>
      </w:r>
      <w:proofErr w:type="spellEnd"/>
      <w:r>
        <w:t xml:space="preserve"> fi: extras d</w:t>
      </w:r>
      <w:r>
        <w:t xml:space="preserve">e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, contract de </w:t>
      </w:r>
      <w:proofErr w:type="spellStart"/>
      <w:r>
        <w:t>comodat</w:t>
      </w:r>
      <w:proofErr w:type="spellEnd"/>
      <w:r>
        <w:t xml:space="preserve">, de </w:t>
      </w:r>
      <w:proofErr w:type="spellStart"/>
      <w:r>
        <w:t>închiriere</w:t>
      </w:r>
      <w:proofErr w:type="spellEnd"/>
      <w:r>
        <w:t xml:space="preserve">, de </w:t>
      </w:r>
      <w:proofErr w:type="spellStart"/>
      <w:r>
        <w:t>concesiune</w:t>
      </w:r>
      <w:proofErr w:type="spellEnd"/>
      <w:r>
        <w:t xml:space="preserve">, de </w:t>
      </w:r>
      <w:proofErr w:type="spellStart"/>
      <w:r>
        <w:t>administrare</w:t>
      </w:r>
      <w:proofErr w:type="spellEnd"/>
      <w:r>
        <w:t xml:space="preserve">, de </w:t>
      </w:r>
      <w:proofErr w:type="spellStart"/>
      <w:r>
        <w:t>schimb</w:t>
      </w:r>
      <w:proofErr w:type="spellEnd"/>
      <w:r>
        <w:t xml:space="preserve"> etc. </w:t>
      </w:r>
      <w:proofErr w:type="spellStart"/>
      <w:r>
        <w:t>Așa</w:t>
      </w:r>
      <w:proofErr w:type="spellEnd"/>
      <w:r>
        <w:t xml:space="preserve"> cum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legiuitorul</w:t>
      </w:r>
      <w:proofErr w:type="spellEnd"/>
      <w:r>
        <w:t xml:space="preserve"> nu face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la forma </w:t>
      </w:r>
      <w:proofErr w:type="spellStart"/>
      <w:r>
        <w:t>autentică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>.</w:t>
      </w:r>
    </w:p>
    <w:p w14:paraId="65868E4B" w14:textId="77777777" w:rsidR="006A5E2E" w:rsidRDefault="006A5E2E">
      <w:pPr>
        <w:ind w:left="0" w:hanging="2"/>
        <w:rPr>
          <w:sz w:val="24"/>
          <w:szCs w:val="24"/>
        </w:rPr>
      </w:pPr>
    </w:p>
    <w:p w14:paraId="760DAF11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06022334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Autorizația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sanitar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veterinară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r>
        <w:rPr>
          <w:b/>
          <w:sz w:val="24"/>
          <w:szCs w:val="24"/>
        </w:rPr>
        <w:t>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serviciile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asigura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activități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preparare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distribuire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hranei</w:t>
      </w:r>
      <w:proofErr w:type="spellEnd"/>
      <w:r>
        <w:rPr>
          <w:b/>
          <w:sz w:val="24"/>
          <w:szCs w:val="24"/>
        </w:rPr>
        <w:t>.</w:t>
      </w:r>
    </w:p>
    <w:p w14:paraId="1B0D3778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Autorizația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securitate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risc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incendiu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documentul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atestă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faptul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nu se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autorizării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incendiu</w:t>
      </w:r>
      <w:proofErr w:type="spellEnd"/>
      <w:r>
        <w:rPr>
          <w:b/>
          <w:sz w:val="24"/>
          <w:szCs w:val="24"/>
        </w:rPr>
        <w:t>.”</w:t>
      </w:r>
    </w:p>
    <w:p w14:paraId="6515A532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0A6F6E9F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Autorizația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</w:t>
      </w:r>
      <w:proofErr w:type="spellStart"/>
      <w:r>
        <w:t>veterinară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autorizația</w:t>
      </w:r>
      <w:proofErr w:type="spellEnd"/>
      <w:r>
        <w:t xml:space="preserve"> </w:t>
      </w:r>
      <w:proofErr w:type="spellStart"/>
      <w:r>
        <w:t>p</w:t>
      </w:r>
      <w:r>
        <w:t>entru</w:t>
      </w:r>
      <w:proofErr w:type="spellEnd"/>
      <w:r>
        <w:t xml:space="preserve"> Securitate la </w:t>
      </w:r>
      <w:proofErr w:type="spellStart"/>
      <w:r>
        <w:t>incendiu</w:t>
      </w:r>
      <w:proofErr w:type="spellEnd"/>
      <w:r>
        <w:t xml:space="preserve"> nu sunt </w:t>
      </w:r>
      <w:proofErr w:type="spellStart"/>
      <w:r>
        <w:t>documente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licențiere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art. 18 din HG nr. 118/2014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197/2012, cu </w:t>
      </w:r>
      <w:proofErr w:type="spellStart"/>
      <w:r>
        <w:t>mod</w:t>
      </w:r>
      <w:r>
        <w:t>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</w:p>
    <w:p w14:paraId="6FF37C1C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conformității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a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/</w:t>
      </w:r>
      <w:proofErr w:type="spellStart"/>
      <w:r>
        <w:t>cerințe</w:t>
      </w:r>
      <w:proofErr w:type="spellEnd"/>
      <w:r>
        <w:t>/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autorizații</w:t>
      </w:r>
      <w:proofErr w:type="spellEnd"/>
      <w:r>
        <w:t xml:space="preserve"> administrativ</w:t>
      </w:r>
      <w:r>
        <w:t xml:space="preserve">e </w:t>
      </w:r>
      <w:proofErr w:type="spellStart"/>
      <w:r>
        <w:t>prealabile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care au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autorizațiile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respective,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al </w:t>
      </w:r>
      <w:proofErr w:type="spellStart"/>
      <w:r>
        <w:t>pazei</w:t>
      </w:r>
      <w:proofErr w:type="spellEnd"/>
      <w:r>
        <w:t xml:space="preserve"> contra </w:t>
      </w:r>
      <w:proofErr w:type="spellStart"/>
      <w:r>
        <w:t>incendiilor</w:t>
      </w:r>
      <w:proofErr w:type="spellEnd"/>
      <w:r>
        <w:t xml:space="preserve">, al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</w:t>
      </w:r>
      <w:r>
        <w:t>că</w:t>
      </w:r>
      <w:proofErr w:type="spellEnd"/>
      <w:r>
        <w:t xml:space="preserve"> etc.</w:t>
      </w:r>
    </w:p>
    <w:p w14:paraId="6AED40C5" w14:textId="77777777" w:rsidR="006A5E2E" w:rsidRDefault="006A5E2E">
      <w:pPr>
        <w:ind w:left="0" w:hanging="2"/>
        <w:rPr>
          <w:sz w:val="24"/>
          <w:szCs w:val="24"/>
        </w:rPr>
      </w:pPr>
    </w:p>
    <w:p w14:paraId="2ADAB67C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239782B3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formularea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răspunsului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rog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aveți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puțin</w:t>
      </w:r>
      <w:proofErr w:type="spellEnd"/>
      <w:r>
        <w:rPr>
          <w:b/>
          <w:sz w:val="24"/>
          <w:szCs w:val="24"/>
        </w:rPr>
        <w:t xml:space="preserve"> una din </w:t>
      </w:r>
      <w:proofErr w:type="spellStart"/>
      <w:r>
        <w:rPr>
          <w:b/>
          <w:sz w:val="24"/>
          <w:szCs w:val="24"/>
        </w:rPr>
        <w:t>casele</w:t>
      </w:r>
      <w:proofErr w:type="spellEnd"/>
      <w:r>
        <w:rPr>
          <w:b/>
          <w:sz w:val="24"/>
          <w:szCs w:val="24"/>
        </w:rPr>
        <w:t xml:space="preserve"> de tip familial </w:t>
      </w:r>
      <w:proofErr w:type="spellStart"/>
      <w:r>
        <w:rPr>
          <w:b/>
          <w:sz w:val="24"/>
          <w:szCs w:val="24"/>
        </w:rPr>
        <w:t>licențiate</w:t>
      </w:r>
      <w:proofErr w:type="spellEnd"/>
      <w:r>
        <w:rPr>
          <w:b/>
          <w:sz w:val="24"/>
          <w:szCs w:val="24"/>
        </w:rPr>
        <w:t xml:space="preserve"> sunt </w:t>
      </w:r>
      <w:proofErr w:type="spellStart"/>
      <w:r>
        <w:rPr>
          <w:b/>
          <w:sz w:val="24"/>
          <w:szCs w:val="24"/>
        </w:rPr>
        <w:t>edificate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neînscrise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funciară</w:t>
      </w:r>
      <w:proofErr w:type="spellEnd"/>
      <w:r>
        <w:rPr>
          <w:b/>
          <w:sz w:val="24"/>
          <w:szCs w:val="24"/>
        </w:rPr>
        <w:t xml:space="preserve">, la </w:t>
      </w:r>
      <w:proofErr w:type="spellStart"/>
      <w:r>
        <w:rPr>
          <w:b/>
          <w:sz w:val="24"/>
          <w:szCs w:val="24"/>
        </w:rPr>
        <w:t>numărul</w:t>
      </w:r>
      <w:proofErr w:type="spellEnd"/>
      <w:r>
        <w:rPr>
          <w:b/>
          <w:sz w:val="24"/>
          <w:szCs w:val="24"/>
        </w:rPr>
        <w:t xml:space="preserve"> 28 </w:t>
      </w:r>
      <w:proofErr w:type="spellStart"/>
      <w:r>
        <w:rPr>
          <w:b/>
          <w:sz w:val="24"/>
          <w:szCs w:val="24"/>
        </w:rPr>
        <w:t>căruia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corespunde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cf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trecut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fără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construcț</w:t>
      </w:r>
      <w:r>
        <w:rPr>
          <w:b/>
          <w:sz w:val="24"/>
          <w:szCs w:val="24"/>
        </w:rPr>
        <w:t>ii</w:t>
      </w:r>
      <w:proofErr w:type="spellEnd"/>
      <w:r>
        <w:rPr>
          <w:b/>
          <w:sz w:val="24"/>
          <w:szCs w:val="24"/>
        </w:rPr>
        <w:t>.”</w:t>
      </w:r>
    </w:p>
    <w:p w14:paraId="067DC3BB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21CA80FA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Așa</w:t>
      </w:r>
      <w:proofErr w:type="spellEnd"/>
      <w:r>
        <w:t xml:space="preserve"> cum </w:t>
      </w:r>
      <w:proofErr w:type="spellStart"/>
      <w:r>
        <w:t>precizam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solicitate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licenței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, de </w:t>
      </w:r>
      <w:proofErr w:type="spellStart"/>
      <w:r>
        <w:t>concesiune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spațiului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funcționează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social. </w:t>
      </w:r>
      <w:proofErr w:type="spellStart"/>
      <w:r>
        <w:t>Așa</w:t>
      </w:r>
      <w:proofErr w:type="spellEnd"/>
      <w:r>
        <w:t xml:space="preserve"> cum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legiuitorul</w:t>
      </w:r>
      <w:proofErr w:type="spellEnd"/>
      <w:r>
        <w:t xml:space="preserve"> nu </w:t>
      </w:r>
      <w:proofErr w:type="spellStart"/>
      <w:r>
        <w:t>limitează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la extras de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>.</w:t>
      </w:r>
    </w:p>
    <w:p w14:paraId="70C2B874" w14:textId="77777777" w:rsidR="006A5E2E" w:rsidRDefault="006A5E2E">
      <w:pPr>
        <w:ind w:left="0" w:hanging="2"/>
        <w:rPr>
          <w:sz w:val="24"/>
          <w:szCs w:val="24"/>
        </w:rPr>
      </w:pPr>
    </w:p>
    <w:p w14:paraId="792B3ED6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0B168BF6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„La 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puțin</w:t>
      </w:r>
      <w:proofErr w:type="spellEnd"/>
      <w:r>
        <w:rPr>
          <w:b/>
          <w:sz w:val="24"/>
          <w:szCs w:val="24"/>
        </w:rPr>
        <w:t xml:space="preserve"> una din </w:t>
      </w:r>
      <w:proofErr w:type="spellStart"/>
      <w:r>
        <w:rPr>
          <w:b/>
          <w:sz w:val="24"/>
          <w:szCs w:val="24"/>
        </w:rPr>
        <w:t>casele</w:t>
      </w:r>
      <w:proofErr w:type="spellEnd"/>
      <w:r>
        <w:rPr>
          <w:b/>
          <w:sz w:val="24"/>
          <w:szCs w:val="24"/>
        </w:rPr>
        <w:t xml:space="preserve"> de tip familial </w:t>
      </w:r>
      <w:proofErr w:type="spellStart"/>
      <w:r>
        <w:rPr>
          <w:b/>
          <w:sz w:val="24"/>
          <w:szCs w:val="24"/>
        </w:rPr>
        <w:t>licențiate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există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autorizație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sanitar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veter</w:t>
      </w:r>
      <w:r>
        <w:rPr>
          <w:b/>
          <w:sz w:val="24"/>
          <w:szCs w:val="24"/>
        </w:rPr>
        <w:t>inara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hrăniți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hrana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preparata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cealaltă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casă</w:t>
      </w:r>
      <w:proofErr w:type="spellEnd"/>
      <w:r>
        <w:rPr>
          <w:b/>
          <w:sz w:val="24"/>
          <w:szCs w:val="24"/>
        </w:rPr>
        <w:t xml:space="preserve"> de tip familial, </w:t>
      </w:r>
      <w:proofErr w:type="spellStart"/>
      <w:r>
        <w:rPr>
          <w:b/>
          <w:sz w:val="24"/>
          <w:szCs w:val="24"/>
        </w:rPr>
        <w:t>transportat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condiții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încalcă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legislația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sanitar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veterinară</w:t>
      </w:r>
      <w:proofErr w:type="spellEnd"/>
      <w:r>
        <w:rPr>
          <w:b/>
          <w:sz w:val="24"/>
          <w:szCs w:val="24"/>
        </w:rPr>
        <w:t>.”</w:t>
      </w:r>
    </w:p>
    <w:p w14:paraId="7B04055A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644E353F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Așa</w:t>
      </w:r>
      <w:proofErr w:type="spellEnd"/>
      <w:r>
        <w:t xml:space="preserve"> cum </w:t>
      </w:r>
      <w:proofErr w:type="spellStart"/>
      <w:r>
        <w:t>precizam</w:t>
      </w:r>
      <w:proofErr w:type="spellEnd"/>
      <w:r>
        <w:t xml:space="preserve"> anterior,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conformității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r>
        <w:t>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a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/</w:t>
      </w:r>
      <w:proofErr w:type="spellStart"/>
      <w:r>
        <w:t>cerințe</w:t>
      </w:r>
      <w:proofErr w:type="spellEnd"/>
      <w:r>
        <w:t>/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autorizații</w:t>
      </w:r>
      <w:proofErr w:type="spellEnd"/>
      <w:r>
        <w:t xml:space="preserve"> administrative </w:t>
      </w:r>
      <w:proofErr w:type="spellStart"/>
      <w:r>
        <w:t>prealabile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care au</w:t>
      </w:r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autorizațiile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respective,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al </w:t>
      </w:r>
      <w:proofErr w:type="spellStart"/>
      <w:r>
        <w:t>pazei</w:t>
      </w:r>
      <w:proofErr w:type="spellEnd"/>
      <w:r>
        <w:t xml:space="preserve"> contra </w:t>
      </w:r>
      <w:proofErr w:type="spellStart"/>
      <w:r>
        <w:t>incendiilor</w:t>
      </w:r>
      <w:proofErr w:type="spellEnd"/>
      <w:r>
        <w:t xml:space="preserve">, al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etc.</w:t>
      </w:r>
    </w:p>
    <w:p w14:paraId="275D8CED" w14:textId="77777777" w:rsidR="006A5E2E" w:rsidRDefault="006A5E2E">
      <w:pPr>
        <w:ind w:left="0" w:hanging="2"/>
        <w:rPr>
          <w:sz w:val="24"/>
          <w:szCs w:val="24"/>
        </w:rPr>
      </w:pPr>
    </w:p>
    <w:p w14:paraId="4AF42E2C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149C322B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„Conform art. 11 din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197/2012 </w:t>
      </w:r>
      <w:proofErr w:type="spellStart"/>
      <w:r>
        <w:rPr>
          <w:b/>
          <w:sz w:val="24"/>
          <w:szCs w:val="24"/>
        </w:rPr>
        <w:t>furnizorul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obligația</w:t>
      </w:r>
      <w:proofErr w:type="spellEnd"/>
      <w:r>
        <w:rPr>
          <w:b/>
          <w:sz w:val="24"/>
          <w:szCs w:val="24"/>
        </w:rPr>
        <w:t xml:space="preserve"> de a </w:t>
      </w:r>
      <w:proofErr w:type="spellStart"/>
      <w:r>
        <w:rPr>
          <w:b/>
          <w:sz w:val="24"/>
          <w:szCs w:val="24"/>
        </w:rPr>
        <w:t>solicita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acreditarea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reacreditarea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serviciului</w:t>
      </w:r>
      <w:proofErr w:type="spellEnd"/>
      <w:r>
        <w:rPr>
          <w:b/>
          <w:sz w:val="24"/>
          <w:szCs w:val="24"/>
        </w:rPr>
        <w:t xml:space="preserve"> social </w:t>
      </w:r>
      <w:proofErr w:type="spellStart"/>
      <w:r>
        <w:rPr>
          <w:b/>
          <w:sz w:val="24"/>
          <w:szCs w:val="24"/>
        </w:rPr>
        <w:t>respectiv</w:t>
      </w:r>
      <w:proofErr w:type="spellEnd"/>
      <w:r>
        <w:rPr>
          <w:b/>
          <w:sz w:val="24"/>
          <w:szCs w:val="24"/>
        </w:rPr>
        <w:t xml:space="preserve"> cu 60 de </w:t>
      </w:r>
      <w:proofErr w:type="spellStart"/>
      <w:r>
        <w:rPr>
          <w:b/>
          <w:sz w:val="24"/>
          <w:szCs w:val="24"/>
        </w:rPr>
        <w:t>zile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înainte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funcțiune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serviciului</w:t>
      </w:r>
      <w:proofErr w:type="spellEnd"/>
      <w:r>
        <w:rPr>
          <w:b/>
          <w:sz w:val="24"/>
          <w:szCs w:val="24"/>
        </w:rPr>
        <w:t xml:space="preserve"> social/de </w:t>
      </w:r>
      <w:proofErr w:type="spellStart"/>
      <w:r>
        <w:rPr>
          <w:b/>
          <w:sz w:val="24"/>
          <w:szCs w:val="24"/>
        </w:rPr>
        <w:t>expirarea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licenței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funcționare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Întrebarea</w:t>
      </w:r>
      <w:proofErr w:type="spellEnd"/>
      <w:r>
        <w:rPr>
          <w:b/>
          <w:sz w:val="24"/>
          <w:szCs w:val="24"/>
        </w:rPr>
        <w:t xml:space="preserve"> de bun </w:t>
      </w:r>
      <w:proofErr w:type="spellStart"/>
      <w:r>
        <w:rPr>
          <w:b/>
          <w:sz w:val="24"/>
          <w:szCs w:val="24"/>
        </w:rPr>
        <w:t>simț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 care o </w:t>
      </w:r>
      <w:proofErr w:type="spellStart"/>
      <w:r>
        <w:rPr>
          <w:b/>
          <w:sz w:val="24"/>
          <w:szCs w:val="24"/>
        </w:rPr>
        <w:t>formulăm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cum o </w:t>
      </w:r>
      <w:proofErr w:type="spellStart"/>
      <w:r>
        <w:rPr>
          <w:b/>
          <w:sz w:val="24"/>
          <w:szCs w:val="24"/>
        </w:rPr>
        <w:t>instituție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statului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achiziționează</w:t>
      </w:r>
      <w:proofErr w:type="spellEnd"/>
      <w:r>
        <w:rPr>
          <w:b/>
          <w:sz w:val="24"/>
          <w:szCs w:val="24"/>
        </w:rPr>
        <w:t xml:space="preserve"> pe o </w:t>
      </w: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doi</w:t>
      </w:r>
      <w:proofErr w:type="spellEnd"/>
      <w:r>
        <w:rPr>
          <w:b/>
          <w:sz w:val="24"/>
          <w:szCs w:val="24"/>
        </w:rPr>
        <w:t xml:space="preserve"> ani </w:t>
      </w:r>
      <w:proofErr w:type="spellStart"/>
      <w:r>
        <w:rPr>
          <w:b/>
          <w:sz w:val="24"/>
          <w:szCs w:val="24"/>
        </w:rPr>
        <w:t>servicii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suma</w:t>
      </w:r>
      <w:proofErr w:type="spellEnd"/>
      <w:r>
        <w:rPr>
          <w:b/>
          <w:sz w:val="24"/>
          <w:szCs w:val="24"/>
        </w:rPr>
        <w:t xml:space="preserve"> de 174.235 euro, pe o </w:t>
      </w:r>
      <w:proofErr w:type="spellStart"/>
      <w:r>
        <w:rPr>
          <w:b/>
          <w:sz w:val="24"/>
          <w:szCs w:val="24"/>
        </w:rPr>
        <w:t>perioadă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doi</w:t>
      </w:r>
      <w:proofErr w:type="spellEnd"/>
      <w:r>
        <w:rPr>
          <w:b/>
          <w:sz w:val="24"/>
          <w:szCs w:val="24"/>
        </w:rPr>
        <w:t xml:space="preserve"> ani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condițiile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furnizorul</w:t>
      </w:r>
      <w:proofErr w:type="spellEnd"/>
      <w:r>
        <w:rPr>
          <w:b/>
          <w:sz w:val="24"/>
          <w:szCs w:val="24"/>
        </w:rPr>
        <w:t xml:space="preserve"> are o </w:t>
      </w:r>
      <w:proofErr w:type="spellStart"/>
      <w:r>
        <w:rPr>
          <w:b/>
          <w:sz w:val="24"/>
          <w:szCs w:val="24"/>
        </w:rPr>
        <w:t>licență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provizorie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expiră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luni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iulie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ș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potrivit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legislației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jos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există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certitudine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obține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definitivă</w:t>
      </w:r>
      <w:proofErr w:type="spellEnd"/>
      <w:r>
        <w:rPr>
          <w:b/>
          <w:sz w:val="24"/>
          <w:szCs w:val="24"/>
        </w:rPr>
        <w:t>.”</w:t>
      </w:r>
    </w:p>
    <w:p w14:paraId="473D497A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1538AD75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licențiere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a</w:t>
      </w:r>
      <w:r>
        <w:t xml:space="preserve"> </w:t>
      </w:r>
      <w:proofErr w:type="spellStart"/>
      <w:r>
        <w:t>licenței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>/</w:t>
      </w:r>
      <w:proofErr w:type="spellStart"/>
      <w:r>
        <w:t>desființare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social,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standardul</w:t>
      </w:r>
      <w:proofErr w:type="spellEnd"/>
      <w:r>
        <w:t xml:space="preserve"> minim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. </w:t>
      </w:r>
    </w:p>
    <w:p w14:paraId="3A6316B4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Astfel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desființării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social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retragerii</w:t>
      </w:r>
      <w:proofErr w:type="spellEnd"/>
      <w:r>
        <w:t xml:space="preserve"> </w:t>
      </w:r>
      <w:proofErr w:type="spellStart"/>
      <w:r>
        <w:t>licenței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sunt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plan</w:t>
      </w:r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sunt </w:t>
      </w:r>
      <w:proofErr w:type="spellStart"/>
      <w:r>
        <w:t>preluați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 nr. 272/2004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DGASPC Sibiu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alternative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.</w:t>
      </w:r>
    </w:p>
    <w:p w14:paraId="066ACFE3" w14:textId="77777777" w:rsidR="006A5E2E" w:rsidRDefault="006A5E2E">
      <w:pPr>
        <w:ind w:left="0" w:hanging="2"/>
        <w:rPr>
          <w:sz w:val="24"/>
          <w:szCs w:val="24"/>
        </w:rPr>
      </w:pPr>
    </w:p>
    <w:p w14:paraId="4AB5D86F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3D3CF12B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”Din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sus se </w:t>
      </w:r>
      <w:proofErr w:type="spellStart"/>
      <w:r>
        <w:rPr>
          <w:b/>
          <w:sz w:val="24"/>
          <w:szCs w:val="24"/>
        </w:rPr>
        <w:t>naște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întrebarea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legitimă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condițiile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care nu </w:t>
      </w:r>
      <w:proofErr w:type="spellStart"/>
      <w:r>
        <w:rPr>
          <w:b/>
          <w:sz w:val="24"/>
          <w:szCs w:val="24"/>
        </w:rPr>
        <w:t>puteau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depuse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puțin</w:t>
      </w:r>
      <w:proofErr w:type="spell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justificative (</w:t>
      </w:r>
      <w:proofErr w:type="spellStart"/>
      <w:r>
        <w:rPr>
          <w:b/>
          <w:sz w:val="24"/>
          <w:szCs w:val="24"/>
        </w:rPr>
        <w:t>vezi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lipsa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înscrierii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cf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răspunsul</w:t>
      </w:r>
      <w:proofErr w:type="spellEnd"/>
      <w:r>
        <w:rPr>
          <w:b/>
          <w:sz w:val="24"/>
          <w:szCs w:val="24"/>
        </w:rPr>
        <w:t xml:space="preserve"> IGSU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răspunsul</w:t>
      </w:r>
      <w:proofErr w:type="spellEnd"/>
      <w:r>
        <w:rPr>
          <w:b/>
          <w:sz w:val="24"/>
          <w:szCs w:val="24"/>
        </w:rPr>
        <w:t xml:space="preserve"> ANVSVA Sibiu) cum au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licențiate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casele</w:t>
      </w:r>
      <w:proofErr w:type="spellEnd"/>
      <w:r>
        <w:rPr>
          <w:b/>
          <w:sz w:val="24"/>
          <w:szCs w:val="24"/>
        </w:rPr>
        <w:t xml:space="preserve"> de tip familial,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controale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efectuate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potrivit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legislației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motivul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după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expirarea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licențierii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provizorii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iulie</w:t>
      </w:r>
      <w:proofErr w:type="spellEnd"/>
      <w:r>
        <w:rPr>
          <w:b/>
          <w:sz w:val="24"/>
          <w:szCs w:val="24"/>
        </w:rPr>
        <w:t xml:space="preserve"> 2021), </w:t>
      </w:r>
      <w:proofErr w:type="spellStart"/>
      <w:r>
        <w:rPr>
          <w:b/>
          <w:sz w:val="24"/>
          <w:szCs w:val="24"/>
        </w:rPr>
        <w:t>luând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considerare</w:t>
      </w:r>
      <w:proofErr w:type="spellEnd"/>
      <w:r>
        <w:rPr>
          <w:b/>
          <w:sz w:val="24"/>
          <w:szCs w:val="24"/>
        </w:rPr>
        <w:t xml:space="preserve"> ca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justificative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licențierii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exista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>.”</w:t>
      </w:r>
    </w:p>
    <w:p w14:paraId="65FCC61A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2D48B83A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Așa</w:t>
      </w:r>
      <w:proofErr w:type="spellEnd"/>
      <w:r>
        <w:t xml:space="preserve"> cum am </w:t>
      </w:r>
      <w:proofErr w:type="spellStart"/>
      <w:r>
        <w:t>descris</w:t>
      </w:r>
      <w:proofErr w:type="spellEnd"/>
      <w:r>
        <w:t xml:space="preserve"> anterior,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autorizațiile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 xml:space="preserve">, </w:t>
      </w:r>
      <w:proofErr w:type="spellStart"/>
      <w:r>
        <w:t>sanitar-veterinară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 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licenței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conformității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lastRenderedPageBreak/>
        <w:t>publică</w:t>
      </w:r>
      <w:proofErr w:type="spellEnd"/>
      <w:r>
        <w:t xml:space="preserve">, a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/</w:t>
      </w:r>
      <w:proofErr w:type="spellStart"/>
      <w:r>
        <w:t>cerințe</w:t>
      </w:r>
      <w:proofErr w:type="spellEnd"/>
      <w:r>
        <w:t>/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autorizații</w:t>
      </w:r>
      <w:proofErr w:type="spellEnd"/>
      <w:r>
        <w:t xml:space="preserve"> administrative </w:t>
      </w:r>
      <w:proofErr w:type="spellStart"/>
      <w:r>
        <w:t>prealabile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se </w:t>
      </w:r>
      <w:proofErr w:type="spellStart"/>
      <w:r>
        <w:t>re</w:t>
      </w:r>
      <w:r>
        <w:t>alizează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care au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autorizațiile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respective. </w:t>
      </w:r>
    </w:p>
    <w:p w14:paraId="59D0484F" w14:textId="77777777" w:rsidR="006A5E2E" w:rsidRDefault="006F123C">
      <w:pPr>
        <w:spacing w:after="120" w:line="276" w:lineRule="auto"/>
        <w:ind w:left="0" w:hanging="2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atestarea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, de </w:t>
      </w:r>
      <w:proofErr w:type="spellStart"/>
      <w:r>
        <w:t>concesiune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spațiului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funcționează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so</w:t>
      </w:r>
      <w:r>
        <w:t xml:space="preserve">cial,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document, cum </w:t>
      </w:r>
      <w:proofErr w:type="spellStart"/>
      <w:r>
        <w:t>ar</w:t>
      </w:r>
      <w:proofErr w:type="spellEnd"/>
      <w:r>
        <w:t xml:space="preserve"> fi: extras de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, contract de </w:t>
      </w:r>
      <w:proofErr w:type="spellStart"/>
      <w:r>
        <w:t>comodat</w:t>
      </w:r>
      <w:proofErr w:type="spellEnd"/>
      <w:r>
        <w:t xml:space="preserve">, de </w:t>
      </w:r>
      <w:proofErr w:type="spellStart"/>
      <w:r>
        <w:t>închiriere</w:t>
      </w:r>
      <w:proofErr w:type="spellEnd"/>
      <w:r>
        <w:t xml:space="preserve">, de </w:t>
      </w:r>
      <w:proofErr w:type="spellStart"/>
      <w:r>
        <w:t>concesiune</w:t>
      </w:r>
      <w:proofErr w:type="spellEnd"/>
      <w:r>
        <w:t xml:space="preserve">, de </w:t>
      </w:r>
      <w:proofErr w:type="spellStart"/>
      <w:r>
        <w:t>administrare</w:t>
      </w:r>
      <w:proofErr w:type="spellEnd"/>
      <w:r>
        <w:t xml:space="preserve">, de </w:t>
      </w:r>
      <w:proofErr w:type="spellStart"/>
      <w:r>
        <w:t>schimb</w:t>
      </w:r>
      <w:proofErr w:type="spellEnd"/>
      <w:r>
        <w:t xml:space="preserve"> etc., </w:t>
      </w:r>
      <w:proofErr w:type="spellStart"/>
      <w:r>
        <w:t>fără</w:t>
      </w:r>
      <w:proofErr w:type="spellEnd"/>
      <w:r>
        <w:t xml:space="preserve"> a se </w:t>
      </w:r>
      <w:proofErr w:type="spellStart"/>
      <w:r>
        <w:t>limita</w:t>
      </w:r>
      <w:proofErr w:type="spellEnd"/>
      <w:r>
        <w:t xml:space="preserve"> la </w:t>
      </w:r>
      <w:proofErr w:type="spellStart"/>
      <w:r>
        <w:t>extrasul</w:t>
      </w:r>
      <w:proofErr w:type="spellEnd"/>
      <w:r>
        <w:t xml:space="preserve"> de carte </w:t>
      </w:r>
      <w:proofErr w:type="spellStart"/>
      <w:r>
        <w:t>funciară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>.</w:t>
      </w:r>
    </w:p>
    <w:p w14:paraId="2672E43B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</w:t>
      </w:r>
      <w:r>
        <w:t>ș</w:t>
      </w:r>
      <w:r>
        <w:t>te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reiterăm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 </w:t>
      </w:r>
      <w:proofErr w:type="spellStart"/>
      <w:r>
        <w:t>alin</w:t>
      </w:r>
      <w:proofErr w:type="spellEnd"/>
      <w:r>
        <w:t xml:space="preserve">. (5) din </w:t>
      </w:r>
      <w:proofErr w:type="spellStart"/>
      <w:r>
        <w:t>Legea</w:t>
      </w:r>
      <w:proofErr w:type="spellEnd"/>
      <w:r>
        <w:t xml:space="preserve"> nr.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entitățile</w:t>
      </w:r>
      <w:proofErr w:type="spellEnd"/>
      <w:r>
        <w:t xml:space="preserve"> private </w:t>
      </w:r>
      <w:proofErr w:type="spellStart"/>
      <w:r>
        <w:t>autorizate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se </w:t>
      </w:r>
      <w:proofErr w:type="spellStart"/>
      <w:r>
        <w:t>menține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alertă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90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stări</w:t>
      </w:r>
      <w:proofErr w:type="spellEnd"/>
      <w:r>
        <w:t xml:space="preserve">. </w:t>
      </w:r>
    </w:p>
    <w:p w14:paraId="20AA63A2" w14:textId="77777777" w:rsidR="006A5E2E" w:rsidRDefault="006A5E2E">
      <w:pPr>
        <w:ind w:left="0" w:hanging="2"/>
        <w:rPr>
          <w:sz w:val="24"/>
          <w:szCs w:val="24"/>
        </w:rPr>
      </w:pPr>
    </w:p>
    <w:p w14:paraId="43BCFA2B" w14:textId="77777777" w:rsidR="006A5E2E" w:rsidRDefault="006F123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Întrebare</w:t>
      </w:r>
      <w:proofErr w:type="spellEnd"/>
      <w:r>
        <w:rPr>
          <w:sz w:val="24"/>
          <w:szCs w:val="24"/>
        </w:rPr>
        <w:t>:</w:t>
      </w:r>
    </w:p>
    <w:p w14:paraId="43D625ED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”Care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mot</w:t>
      </w:r>
      <w:r>
        <w:rPr>
          <w:b/>
          <w:sz w:val="24"/>
          <w:szCs w:val="24"/>
        </w:rPr>
        <w:t>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pasivității</w:t>
      </w:r>
      <w:proofErr w:type="spellEnd"/>
      <w:r>
        <w:rPr>
          <w:b/>
          <w:sz w:val="24"/>
          <w:szCs w:val="24"/>
        </w:rPr>
        <w:t xml:space="preserve"> DGASPC Sibiu care nu </w:t>
      </w:r>
      <w:proofErr w:type="spellStart"/>
      <w:r>
        <w:rPr>
          <w:b/>
          <w:sz w:val="24"/>
          <w:szCs w:val="24"/>
        </w:rPr>
        <w:t>întreprins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nici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demers</w:t>
      </w:r>
      <w:proofErr w:type="spellEnd"/>
      <w:r>
        <w:rPr>
          <w:b/>
          <w:sz w:val="24"/>
          <w:szCs w:val="24"/>
        </w:rPr>
        <w:t xml:space="preserve"> legal </w:t>
      </w:r>
      <w:proofErr w:type="spellStart"/>
      <w:r>
        <w:rPr>
          <w:b/>
          <w:sz w:val="24"/>
          <w:szCs w:val="24"/>
        </w:rPr>
        <w:t>având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contractul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achiziții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discuție</w:t>
      </w:r>
      <w:proofErr w:type="spellEnd"/>
      <w:r>
        <w:rPr>
          <w:b/>
          <w:sz w:val="24"/>
          <w:szCs w:val="24"/>
        </w:rPr>
        <w:t>?</w:t>
      </w:r>
    </w:p>
    <w:p w14:paraId="0979DAEE" w14:textId="77777777" w:rsidR="006A5E2E" w:rsidRDefault="006F123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Pe site-ul </w:t>
      </w:r>
      <w:proofErr w:type="spellStart"/>
      <w:r>
        <w:rPr>
          <w:b/>
          <w:sz w:val="24"/>
          <w:szCs w:val="24"/>
        </w:rPr>
        <w:t>Consiliului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Județean</w:t>
      </w:r>
      <w:proofErr w:type="spellEnd"/>
      <w:r>
        <w:rPr>
          <w:b/>
          <w:sz w:val="24"/>
          <w:szCs w:val="24"/>
        </w:rPr>
        <w:t xml:space="preserve"> Sibiu, </w:t>
      </w:r>
      <w:proofErr w:type="spellStart"/>
      <w:r>
        <w:rPr>
          <w:b/>
          <w:sz w:val="24"/>
          <w:szCs w:val="24"/>
        </w:rPr>
        <w:t>casele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familiale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discuție</w:t>
      </w:r>
      <w:proofErr w:type="spellEnd"/>
      <w:r>
        <w:rPr>
          <w:b/>
          <w:sz w:val="24"/>
          <w:szCs w:val="24"/>
        </w:rPr>
        <w:t xml:space="preserve"> au o capacitate de 24 de </w:t>
      </w:r>
      <w:proofErr w:type="spellStart"/>
      <w:r>
        <w:rPr>
          <w:b/>
          <w:sz w:val="24"/>
          <w:szCs w:val="24"/>
        </w:rPr>
        <w:t>beneficiari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dar</w:t>
      </w:r>
      <w:proofErr w:type="spellEnd"/>
      <w:r>
        <w:rPr>
          <w:b/>
          <w:sz w:val="24"/>
          <w:szCs w:val="24"/>
        </w:rPr>
        <w:t xml:space="preserve"> DGASPC Sibiu </w:t>
      </w:r>
      <w:proofErr w:type="spellStart"/>
      <w:r>
        <w:rPr>
          <w:b/>
          <w:sz w:val="24"/>
          <w:szCs w:val="24"/>
        </w:rPr>
        <w:t>su</w:t>
      </w:r>
      <w:r>
        <w:rPr>
          <w:b/>
          <w:sz w:val="24"/>
          <w:szCs w:val="24"/>
        </w:rPr>
        <w:t>sține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sunt 30 de </w:t>
      </w:r>
      <w:proofErr w:type="spellStart"/>
      <w:r>
        <w:rPr>
          <w:b/>
          <w:sz w:val="24"/>
          <w:szCs w:val="24"/>
        </w:rPr>
        <w:t>beneficiari</w:t>
      </w:r>
      <w:proofErr w:type="spellEnd"/>
      <w:r>
        <w:rPr>
          <w:b/>
          <w:sz w:val="24"/>
          <w:szCs w:val="24"/>
        </w:rPr>
        <w:t>.”</w:t>
      </w:r>
    </w:p>
    <w:p w14:paraId="22D08A2B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Răspuns</w:t>
      </w:r>
      <w:proofErr w:type="spellEnd"/>
      <w:r>
        <w:t>:</w:t>
      </w:r>
    </w:p>
    <w:p w14:paraId="355165D2" w14:textId="77777777" w:rsidR="006A5E2E" w:rsidRDefault="006F123C">
      <w:pPr>
        <w:spacing w:after="120" w:line="276" w:lineRule="auto"/>
        <w:ind w:left="0" w:hanging="2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dispunem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contract,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DGASPC Sibiu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singurul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comunice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0EBBE6BC" w14:textId="77777777" w:rsidR="006A5E2E" w:rsidRDefault="006F123C">
      <w:pPr>
        <w:spacing w:after="120" w:line="276" w:lineRule="auto"/>
        <w:ind w:left="0" w:hanging="2"/>
        <w:jc w:val="both"/>
        <w:rPr>
          <w:sz w:val="24"/>
          <w:szCs w:val="24"/>
        </w:rPr>
      </w:pPr>
      <w:proofErr w:type="spellStart"/>
      <w:r>
        <w:t>Ref</w:t>
      </w:r>
      <w:r>
        <w:t>eritor</w:t>
      </w:r>
      <w:proofErr w:type="spellEnd"/>
      <w:r>
        <w:t xml:space="preserve"> la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case de tip familial,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electronic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(</w:t>
      </w:r>
      <w:proofErr w:type="spellStart"/>
      <w:r>
        <w:t>disponibil</w:t>
      </w:r>
      <w:proofErr w:type="spellEnd"/>
      <w:r>
        <w:t xml:space="preserve"> la </w:t>
      </w:r>
      <w:proofErr w:type="spellStart"/>
      <w:r>
        <w:t>următorul</w:t>
      </w:r>
      <w:proofErr w:type="spellEnd"/>
      <w:r>
        <w:t xml:space="preserve"> link</w:t>
      </w:r>
      <w:r>
        <w:rPr>
          <w:sz w:val="24"/>
          <w:szCs w:val="24"/>
        </w:rP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http://mmuncii.ro/j33/index.php/ro/2014-domenii/familie/politici-familiale-incluziune-si-asistenta-sociala/acreditare-furnizori</w:t>
        </w:r>
        <w:r>
          <w:rPr>
            <w:color w:val="0563C1"/>
            <w:sz w:val="24"/>
            <w:szCs w:val="24"/>
            <w:u w:val="single"/>
          </w:rPr>
          <w:t>-si-servicii-sociale/4848-2017-04-18-acreditare-3</w:t>
        </w:r>
      </w:hyperlink>
      <w:r>
        <w:rPr>
          <w:sz w:val="24"/>
          <w:szCs w:val="24"/>
        </w:rPr>
        <w:t xml:space="preserve">), Casa </w:t>
      </w:r>
      <w:proofErr w:type="spellStart"/>
      <w:r>
        <w:rPr>
          <w:sz w:val="24"/>
          <w:szCs w:val="24"/>
        </w:rPr>
        <w:t>Pamipa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capacitatea</w:t>
      </w:r>
      <w:proofErr w:type="spellEnd"/>
      <w:r>
        <w:rPr>
          <w:sz w:val="24"/>
          <w:szCs w:val="24"/>
        </w:rPr>
        <w:t xml:space="preserve"> de 12 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Casa „Jenny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Tabita” are </w:t>
      </w:r>
      <w:proofErr w:type="spellStart"/>
      <w:r>
        <w:rPr>
          <w:sz w:val="24"/>
          <w:szCs w:val="24"/>
        </w:rPr>
        <w:t>capacitatea</w:t>
      </w:r>
      <w:proofErr w:type="spellEnd"/>
      <w:r>
        <w:rPr>
          <w:sz w:val="24"/>
          <w:szCs w:val="24"/>
        </w:rPr>
        <w:t xml:space="preserve"> de 12 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 xml:space="preserve">.  </w:t>
      </w:r>
    </w:p>
    <w:p w14:paraId="598F6BAC" w14:textId="77777777" w:rsidR="006A5E2E" w:rsidRDefault="006F123C">
      <w:pPr>
        <w:spacing w:after="120" w:line="276" w:lineRule="auto"/>
        <w:ind w:left="0" w:hanging="2"/>
        <w:jc w:val="both"/>
      </w:pPr>
      <w:r>
        <w:br/>
      </w:r>
      <w:r>
        <w:rPr>
          <w:b/>
        </w:rPr>
        <w:t xml:space="preserve">Cu </w:t>
      </w:r>
      <w:proofErr w:type="spellStart"/>
      <w:r>
        <w:rPr>
          <w:b/>
        </w:rPr>
        <w:t>stimă</w:t>
      </w:r>
      <w:proofErr w:type="spellEnd"/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6E229A38" w14:textId="77777777" w:rsidR="006A5E2E" w:rsidRDefault="006A5E2E">
      <w:pPr>
        <w:spacing w:after="120" w:line="276" w:lineRule="auto"/>
        <w:ind w:left="1" w:hanging="3"/>
        <w:jc w:val="both"/>
        <w:rPr>
          <w:sz w:val="28"/>
          <w:szCs w:val="28"/>
        </w:rPr>
      </w:pPr>
    </w:p>
    <w:p w14:paraId="40835666" w14:textId="77777777" w:rsidR="006A5E2E" w:rsidRDefault="006F123C">
      <w:pPr>
        <w:spacing w:after="120" w:line="276" w:lineRule="auto"/>
        <w:ind w:left="0" w:hanging="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Serviciul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, Mass-Media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Relații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Publicul</w:t>
      </w:r>
      <w:proofErr w:type="spellEnd"/>
    </w:p>
    <w:sectPr w:rsidR="006A5E2E">
      <w:headerReference w:type="first" r:id="rId7"/>
      <w:footerReference w:type="first" r:id="rId8"/>
      <w:pgSz w:w="11907" w:h="16839"/>
      <w:pgMar w:top="425" w:right="567" w:bottom="425" w:left="567" w:header="425" w:footer="1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97F0" w14:textId="77777777" w:rsidR="006F123C" w:rsidRDefault="006F123C">
      <w:pPr>
        <w:spacing w:line="240" w:lineRule="auto"/>
        <w:ind w:left="0" w:hanging="2"/>
      </w:pPr>
      <w:r>
        <w:separator/>
      </w:r>
    </w:p>
  </w:endnote>
  <w:endnote w:type="continuationSeparator" w:id="0">
    <w:p w14:paraId="44571B2D" w14:textId="77777777" w:rsidR="006F123C" w:rsidRDefault="006F12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099F" w14:textId="77777777" w:rsidR="006A5E2E" w:rsidRDefault="006A5E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Questrial" w:eastAsia="Questrial" w:hAnsi="Questrial" w:cs="Questrial"/>
        <w:color w:val="000000"/>
        <w:sz w:val="20"/>
        <w:szCs w:val="20"/>
      </w:rPr>
    </w:pPr>
  </w:p>
  <w:p w14:paraId="392AF2E7" w14:textId="77777777" w:rsidR="006A5E2E" w:rsidRDefault="006A5E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Questrial" w:eastAsia="Questrial" w:hAnsi="Questrial" w:cs="Questrial"/>
        <w:color w:val="000000"/>
        <w:sz w:val="16"/>
        <w:szCs w:val="16"/>
      </w:rPr>
    </w:pPr>
  </w:p>
  <w:p w14:paraId="3FB54F1A" w14:textId="77777777" w:rsidR="006A5E2E" w:rsidRDefault="006F12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Questrial" w:eastAsia="Questrial" w:hAnsi="Questrial" w:cs="Questrial"/>
        <w:color w:val="000000"/>
        <w:sz w:val="16"/>
        <w:szCs w:val="16"/>
      </w:rPr>
    </w:pPr>
    <w:proofErr w:type="spellStart"/>
    <w:r>
      <w:rPr>
        <w:rFonts w:ascii="Questrial" w:eastAsia="Questrial" w:hAnsi="Questrial" w:cs="Questrial"/>
        <w:color w:val="000000"/>
        <w:sz w:val="16"/>
        <w:szCs w:val="16"/>
      </w:rPr>
      <w:t>Str.Dem.I.Dobrescu</w:t>
    </w:r>
    <w:proofErr w:type="spellEnd"/>
    <w:r>
      <w:rPr>
        <w:rFonts w:ascii="Questrial" w:eastAsia="Questrial" w:hAnsi="Questrial" w:cs="Questrial"/>
        <w:color w:val="000000"/>
        <w:sz w:val="16"/>
        <w:szCs w:val="16"/>
      </w:rPr>
      <w:t xml:space="preserve">, nr.2-4, Sector 1, </w:t>
    </w:r>
    <w:proofErr w:type="spellStart"/>
    <w:r>
      <w:rPr>
        <w:rFonts w:ascii="Questrial" w:eastAsia="Questrial" w:hAnsi="Questrial" w:cs="Questrial"/>
        <w:color w:val="000000"/>
        <w:sz w:val="16"/>
        <w:szCs w:val="16"/>
      </w:rPr>
      <w:t>București</w:t>
    </w:r>
    <w:proofErr w:type="spellEnd"/>
  </w:p>
  <w:p w14:paraId="29A8615A" w14:textId="77777777" w:rsidR="006A5E2E" w:rsidRDefault="006F12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Questrial" w:eastAsia="Questrial" w:hAnsi="Questrial" w:cs="Questrial"/>
        <w:color w:val="000000"/>
        <w:sz w:val="16"/>
        <w:szCs w:val="16"/>
      </w:rPr>
    </w:pPr>
    <w:r>
      <w:rPr>
        <w:rFonts w:ascii="Questrial" w:eastAsia="Questrial" w:hAnsi="Questrial" w:cs="Questrial"/>
        <w:color w:val="000000"/>
        <w:sz w:val="16"/>
        <w:szCs w:val="16"/>
      </w:rPr>
      <w:t xml:space="preserve">Tel.: +4(0) 213 158 556 </w:t>
    </w:r>
  </w:p>
  <w:p w14:paraId="3BAB896B" w14:textId="77777777" w:rsidR="006A5E2E" w:rsidRDefault="006F12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Questrial" w:eastAsia="Questrial" w:hAnsi="Questrial" w:cs="Questrial"/>
        <w:color w:val="000000"/>
        <w:sz w:val="16"/>
        <w:szCs w:val="16"/>
      </w:rPr>
    </w:pPr>
    <w:r>
      <w:rPr>
        <w:rFonts w:ascii="Questrial" w:eastAsia="Questrial" w:hAnsi="Questrial" w:cs="Questrial"/>
        <w:color w:val="000000"/>
        <w:sz w:val="16"/>
        <w:szCs w:val="16"/>
      </w:rPr>
      <w:t xml:space="preserve">E-mail: </w:t>
    </w:r>
    <w:hyperlink r:id="rId1">
      <w:r>
        <w:rPr>
          <w:rFonts w:ascii="Questrial" w:eastAsia="Questrial" w:hAnsi="Questrial" w:cs="Questrial"/>
          <w:color w:val="0563C1"/>
          <w:sz w:val="16"/>
          <w:szCs w:val="16"/>
          <w:u w:val="single"/>
        </w:rPr>
        <w:t>presa@mmuncii.gov.ro</w:t>
      </w:r>
    </w:hyperlink>
  </w:p>
  <w:p w14:paraId="3EC3B1E7" w14:textId="77777777" w:rsidR="006A5E2E" w:rsidRDefault="006F12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Questrial" w:eastAsia="Questrial" w:hAnsi="Questrial" w:cs="Questrial"/>
        <w:color w:val="000000"/>
        <w:sz w:val="16"/>
        <w:szCs w:val="16"/>
      </w:rPr>
    </w:pPr>
    <w:r>
      <w:rPr>
        <w:rFonts w:ascii="Questrial" w:eastAsia="Questrial" w:hAnsi="Questrial" w:cs="Questrial"/>
        <w:b/>
        <w:color w:val="000000"/>
        <w:sz w:val="16"/>
        <w:szCs w:val="16"/>
      </w:rPr>
      <w:t xml:space="preserve">www.mmuncii.gov.ro </w:t>
    </w:r>
  </w:p>
  <w:p w14:paraId="748CB133" w14:textId="77777777" w:rsidR="006A5E2E" w:rsidRDefault="006F12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E58F2F" wp14:editId="0DB2F98F">
              <wp:simplePos x="0" y="0"/>
              <wp:positionH relativeFrom="margin">
                <wp:posOffset>1106805</wp:posOffset>
              </wp:positionH>
              <wp:positionV relativeFrom="paragraph">
                <wp:posOffset>43180</wp:posOffset>
              </wp:positionV>
              <wp:extent cx="573405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26EF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6" o:spid="_x0000_s1026" type="#_x0000_t32" style="position:absolute;margin-left:87.15pt;margin-top:3.4pt;width:451.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" strokecolor="#a5a5a5">
              <v:stroke joinstyle="miter"/>
              <w10:wrap anchorx="margin"/>
            </v:shape>
          </w:pict>
        </mc:Fallback>
      </mc:AlternateContent>
    </w:r>
  </w:p>
  <w:p w14:paraId="5476D9E7" w14:textId="77777777" w:rsidR="006A5E2E" w:rsidRDefault="006F123C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Conform </w:t>
    </w:r>
    <w:proofErr w:type="spellStart"/>
    <w:r>
      <w:rPr>
        <w:color w:val="000000"/>
        <w:sz w:val="14"/>
        <w:szCs w:val="14"/>
      </w:rPr>
      <w:t>prevederilor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Regulamentului</w:t>
    </w:r>
    <w:proofErr w:type="spellEnd"/>
    <w:r>
      <w:rPr>
        <w:color w:val="000000"/>
        <w:sz w:val="14"/>
        <w:szCs w:val="14"/>
      </w:rPr>
      <w:t xml:space="preserve"> (UE) 2016/679 al </w:t>
    </w:r>
    <w:proofErr w:type="spellStart"/>
    <w:r>
      <w:rPr>
        <w:color w:val="000000"/>
        <w:sz w:val="14"/>
        <w:szCs w:val="14"/>
      </w:rPr>
      <w:t>Parlamentului</w:t>
    </w:r>
    <w:proofErr w:type="spellEnd"/>
    <w:r>
      <w:rPr>
        <w:color w:val="000000"/>
        <w:sz w:val="14"/>
        <w:szCs w:val="14"/>
      </w:rPr>
      <w:t xml:space="preserve"> European </w:t>
    </w:r>
    <w:proofErr w:type="spellStart"/>
    <w:r>
      <w:rPr>
        <w:color w:val="000000"/>
        <w:sz w:val="14"/>
        <w:szCs w:val="14"/>
      </w:rPr>
      <w:t>şi</w:t>
    </w:r>
    <w:proofErr w:type="spellEnd"/>
    <w:r>
      <w:rPr>
        <w:color w:val="000000"/>
        <w:sz w:val="14"/>
        <w:szCs w:val="14"/>
      </w:rPr>
      <w:t xml:space="preserve"> al </w:t>
    </w:r>
    <w:proofErr w:type="spellStart"/>
    <w:r>
      <w:rPr>
        <w:color w:val="000000"/>
        <w:sz w:val="14"/>
        <w:szCs w:val="14"/>
      </w:rPr>
      <w:t>Consiliului</w:t>
    </w:r>
    <w:proofErr w:type="spellEnd"/>
    <w:r>
      <w:rPr>
        <w:color w:val="000000"/>
        <w:sz w:val="14"/>
        <w:szCs w:val="14"/>
      </w:rPr>
      <w:t xml:space="preserve"> din 27 </w:t>
    </w:r>
    <w:proofErr w:type="spellStart"/>
    <w:r>
      <w:rPr>
        <w:color w:val="000000"/>
        <w:sz w:val="14"/>
        <w:szCs w:val="14"/>
      </w:rPr>
      <w:t>aprilie</w:t>
    </w:r>
    <w:proofErr w:type="spellEnd"/>
    <w:r>
      <w:rPr>
        <w:color w:val="000000"/>
        <w:sz w:val="14"/>
        <w:szCs w:val="14"/>
      </w:rPr>
      <w:t xml:space="preserve"> 2016 </w:t>
    </w:r>
    <w:proofErr w:type="spellStart"/>
    <w:r>
      <w:rPr>
        <w:color w:val="000000"/>
        <w:sz w:val="14"/>
        <w:szCs w:val="14"/>
      </w:rPr>
      <w:t>privind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protecţia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persoanelor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fizice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în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ceea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ce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priveşte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prelucrarea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datelor</w:t>
    </w:r>
    <w:proofErr w:type="spellEnd"/>
    <w:r>
      <w:rPr>
        <w:color w:val="000000"/>
        <w:sz w:val="14"/>
        <w:szCs w:val="14"/>
      </w:rPr>
      <w:t xml:space="preserve"> cu </w:t>
    </w:r>
    <w:proofErr w:type="spellStart"/>
    <w:r>
      <w:rPr>
        <w:color w:val="000000"/>
        <w:sz w:val="14"/>
        <w:szCs w:val="14"/>
      </w:rPr>
      <w:t>caracter</w:t>
    </w:r>
    <w:proofErr w:type="spellEnd"/>
    <w:r>
      <w:rPr>
        <w:color w:val="000000"/>
        <w:sz w:val="14"/>
        <w:szCs w:val="14"/>
      </w:rPr>
      <w:t xml:space="preserve"> personal </w:t>
    </w:r>
    <w:proofErr w:type="spellStart"/>
    <w:r>
      <w:rPr>
        <w:color w:val="000000"/>
        <w:sz w:val="14"/>
        <w:szCs w:val="14"/>
      </w:rPr>
      <w:t>şi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privind</w:t>
    </w:r>
    <w:proofErr w:type="spellEnd"/>
    <w:r>
      <w:rPr>
        <w:color w:val="000000"/>
        <w:sz w:val="14"/>
        <w:szCs w:val="14"/>
      </w:rPr>
      <w:t xml:space="preserve"> libera </w:t>
    </w:r>
    <w:proofErr w:type="spellStart"/>
    <w:r>
      <w:rPr>
        <w:color w:val="000000"/>
        <w:sz w:val="14"/>
        <w:szCs w:val="14"/>
      </w:rPr>
      <w:t>circulaţie</w:t>
    </w:r>
    <w:proofErr w:type="spellEnd"/>
    <w:r>
      <w:rPr>
        <w:color w:val="000000"/>
        <w:sz w:val="14"/>
        <w:szCs w:val="14"/>
      </w:rPr>
      <w:t xml:space="preserve"> a </w:t>
    </w:r>
    <w:proofErr w:type="spellStart"/>
    <w:r>
      <w:rPr>
        <w:color w:val="000000"/>
        <w:sz w:val="14"/>
        <w:szCs w:val="14"/>
      </w:rPr>
      <w:t>acestor</w:t>
    </w:r>
    <w:proofErr w:type="spellEnd"/>
    <w:r>
      <w:rPr>
        <w:color w:val="000000"/>
        <w:sz w:val="14"/>
        <w:szCs w:val="14"/>
      </w:rPr>
      <w:t xml:space="preserve"> date </w:t>
    </w:r>
    <w:proofErr w:type="spellStart"/>
    <w:r>
      <w:rPr>
        <w:color w:val="000000"/>
        <w:sz w:val="14"/>
        <w:szCs w:val="14"/>
      </w:rPr>
      <w:t>şi</w:t>
    </w:r>
    <w:proofErr w:type="spellEnd"/>
    <w:r>
      <w:rPr>
        <w:color w:val="000000"/>
        <w:sz w:val="14"/>
        <w:szCs w:val="14"/>
      </w:rPr>
      <w:t xml:space="preserve"> de </w:t>
    </w:r>
    <w:proofErr w:type="spellStart"/>
    <w:r>
      <w:rPr>
        <w:color w:val="000000"/>
        <w:sz w:val="14"/>
        <w:szCs w:val="14"/>
      </w:rPr>
      <w:t>abrogare</w:t>
    </w:r>
    <w:proofErr w:type="spellEnd"/>
    <w:r>
      <w:rPr>
        <w:color w:val="000000"/>
        <w:sz w:val="14"/>
        <w:szCs w:val="14"/>
      </w:rPr>
      <w:t xml:space="preserve"> a </w:t>
    </w:r>
    <w:proofErr w:type="spellStart"/>
    <w:r>
      <w:rPr>
        <w:color w:val="000000"/>
        <w:sz w:val="14"/>
        <w:szCs w:val="14"/>
      </w:rPr>
      <w:t>Directivei</w:t>
    </w:r>
    <w:proofErr w:type="spellEnd"/>
    <w:r>
      <w:rPr>
        <w:color w:val="000000"/>
        <w:sz w:val="14"/>
        <w:szCs w:val="14"/>
      </w:rPr>
      <w:t xml:space="preserve"> 95/46/CE (</w:t>
    </w:r>
    <w:proofErr w:type="spellStart"/>
    <w:r>
      <w:rPr>
        <w:color w:val="000000"/>
        <w:sz w:val="14"/>
        <w:szCs w:val="14"/>
      </w:rPr>
      <w:t>Regulamentul</w:t>
    </w:r>
    <w:proofErr w:type="spellEnd"/>
    <w:r>
      <w:rPr>
        <w:color w:val="000000"/>
        <w:sz w:val="14"/>
        <w:szCs w:val="14"/>
      </w:rPr>
      <w:t xml:space="preserve"> general </w:t>
    </w:r>
    <w:proofErr w:type="spellStart"/>
    <w:r>
      <w:rPr>
        <w:color w:val="000000"/>
        <w:sz w:val="14"/>
        <w:szCs w:val="14"/>
      </w:rPr>
      <w:t>privind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protecția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datelor</w:t>
    </w:r>
    <w:proofErr w:type="spellEnd"/>
    <w:r>
      <w:rPr>
        <w:color w:val="000000"/>
        <w:sz w:val="14"/>
        <w:szCs w:val="14"/>
      </w:rPr>
      <w:t xml:space="preserve">), </w:t>
    </w:r>
    <w:proofErr w:type="spellStart"/>
    <w:r>
      <w:rPr>
        <w:color w:val="000000"/>
        <w:sz w:val="14"/>
        <w:szCs w:val="14"/>
      </w:rPr>
      <w:t>informațiile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referitoare</w:t>
    </w:r>
    <w:proofErr w:type="spellEnd"/>
    <w:r>
      <w:rPr>
        <w:color w:val="000000"/>
        <w:sz w:val="14"/>
        <w:szCs w:val="14"/>
      </w:rPr>
      <w:t xml:space="preserve"> la </w:t>
    </w:r>
    <w:proofErr w:type="spellStart"/>
    <w:r>
      <w:rPr>
        <w:color w:val="000000"/>
        <w:sz w:val="14"/>
        <w:szCs w:val="14"/>
      </w:rPr>
      <w:t>datele</w:t>
    </w:r>
    <w:proofErr w:type="spellEnd"/>
    <w:r>
      <w:rPr>
        <w:color w:val="000000"/>
        <w:sz w:val="14"/>
        <w:szCs w:val="14"/>
      </w:rPr>
      <w:t xml:space="preserve"> cu </w:t>
    </w:r>
    <w:proofErr w:type="spellStart"/>
    <w:r>
      <w:rPr>
        <w:color w:val="000000"/>
        <w:sz w:val="14"/>
        <w:szCs w:val="14"/>
      </w:rPr>
      <w:t>caracter</w:t>
    </w:r>
    <w:proofErr w:type="spellEnd"/>
    <w:r>
      <w:rPr>
        <w:color w:val="000000"/>
        <w:sz w:val="14"/>
        <w:szCs w:val="14"/>
      </w:rPr>
      <w:t xml:space="preserve"> personal </w:t>
    </w:r>
    <w:proofErr w:type="spellStart"/>
    <w:r>
      <w:rPr>
        <w:color w:val="000000"/>
        <w:sz w:val="14"/>
        <w:szCs w:val="14"/>
      </w:rPr>
      <w:t>cuprinse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în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acest</w:t>
    </w:r>
    <w:proofErr w:type="spellEnd"/>
    <w:r>
      <w:rPr>
        <w:color w:val="000000"/>
        <w:sz w:val="14"/>
        <w:szCs w:val="14"/>
      </w:rPr>
      <w:t xml:space="preserve"> document sunt </w:t>
    </w:r>
    <w:proofErr w:type="spellStart"/>
    <w:r>
      <w:rPr>
        <w:color w:val="000000"/>
        <w:sz w:val="14"/>
        <w:szCs w:val="14"/>
      </w:rPr>
      <w:t>confidențiale</w:t>
    </w:r>
    <w:proofErr w:type="spellEnd"/>
    <w:r>
      <w:rPr>
        <w:color w:val="000000"/>
        <w:sz w:val="14"/>
        <w:szCs w:val="14"/>
      </w:rPr>
      <w:t xml:space="preserve">. </w:t>
    </w:r>
    <w:proofErr w:type="spellStart"/>
    <w:r>
      <w:rPr>
        <w:color w:val="000000"/>
        <w:sz w:val="14"/>
        <w:szCs w:val="14"/>
      </w:rPr>
      <w:t>Acestea</w:t>
    </w:r>
    <w:proofErr w:type="spellEnd"/>
    <w:r>
      <w:rPr>
        <w:color w:val="000000"/>
        <w:sz w:val="14"/>
        <w:szCs w:val="14"/>
      </w:rPr>
      <w:t xml:space="preserve"> sunt destinate </w:t>
    </w:r>
    <w:proofErr w:type="spellStart"/>
    <w:r>
      <w:rPr>
        <w:color w:val="000000"/>
        <w:sz w:val="14"/>
        <w:szCs w:val="14"/>
      </w:rPr>
      <w:t>exclusiv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persoanei</w:t>
    </w:r>
    <w:proofErr w:type="spellEnd"/>
    <w:r>
      <w:rPr>
        <w:color w:val="000000"/>
        <w:sz w:val="14"/>
        <w:szCs w:val="14"/>
      </w:rPr>
      <w:t>/</w:t>
    </w:r>
    <w:proofErr w:type="spellStart"/>
    <w:r>
      <w:rPr>
        <w:color w:val="000000"/>
        <w:sz w:val="14"/>
        <w:szCs w:val="14"/>
      </w:rPr>
      <w:t>persoanelor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menționate</w:t>
    </w:r>
    <w:proofErr w:type="spellEnd"/>
    <w:r>
      <w:rPr>
        <w:color w:val="000000"/>
        <w:sz w:val="14"/>
        <w:szCs w:val="14"/>
      </w:rPr>
      <w:t xml:space="preserve"> c</w:t>
    </w:r>
    <w:r>
      <w:rPr>
        <w:color w:val="000000"/>
        <w:sz w:val="14"/>
        <w:szCs w:val="14"/>
      </w:rPr>
      <w:t xml:space="preserve">a </w:t>
    </w:r>
    <w:proofErr w:type="spellStart"/>
    <w:r>
      <w:rPr>
        <w:color w:val="000000"/>
        <w:sz w:val="14"/>
        <w:szCs w:val="14"/>
      </w:rPr>
      <w:t>destinatar</w:t>
    </w:r>
    <w:proofErr w:type="spellEnd"/>
    <w:r>
      <w:rPr>
        <w:color w:val="000000"/>
        <w:sz w:val="14"/>
        <w:szCs w:val="14"/>
      </w:rPr>
      <w:t>/</w:t>
    </w:r>
    <w:proofErr w:type="spellStart"/>
    <w:r>
      <w:rPr>
        <w:color w:val="000000"/>
        <w:sz w:val="14"/>
        <w:szCs w:val="14"/>
      </w:rPr>
      <w:t>destinatari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și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altor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persoane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autorizate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să</w:t>
    </w:r>
    <w:proofErr w:type="spellEnd"/>
    <w:r>
      <w:rPr>
        <w:color w:val="000000"/>
        <w:sz w:val="14"/>
        <w:szCs w:val="14"/>
      </w:rPr>
      <w:t xml:space="preserve">-l </w:t>
    </w:r>
    <w:proofErr w:type="spellStart"/>
    <w:r>
      <w:rPr>
        <w:color w:val="000000"/>
        <w:sz w:val="14"/>
        <w:szCs w:val="14"/>
      </w:rPr>
      <w:t>primească</w:t>
    </w:r>
    <w:proofErr w:type="spellEnd"/>
    <w:r>
      <w:rPr>
        <w:color w:val="000000"/>
        <w:sz w:val="14"/>
        <w:szCs w:val="14"/>
      </w:rPr>
      <w:t xml:space="preserve">. </w:t>
    </w:r>
    <w:proofErr w:type="spellStart"/>
    <w:r>
      <w:rPr>
        <w:color w:val="000000"/>
        <w:sz w:val="14"/>
        <w:szCs w:val="14"/>
      </w:rPr>
      <w:t>Dacă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ați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primit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acest</w:t>
    </w:r>
    <w:proofErr w:type="spellEnd"/>
    <w:r>
      <w:rPr>
        <w:color w:val="000000"/>
        <w:sz w:val="14"/>
        <w:szCs w:val="14"/>
      </w:rPr>
      <w:t xml:space="preserve"> document </w:t>
    </w:r>
    <w:proofErr w:type="spellStart"/>
    <w:r>
      <w:rPr>
        <w:color w:val="000000"/>
        <w:sz w:val="14"/>
        <w:szCs w:val="14"/>
      </w:rPr>
      <w:t>în</w:t>
    </w:r>
    <w:proofErr w:type="spellEnd"/>
    <w:r>
      <w:rPr>
        <w:color w:val="000000"/>
        <w:sz w:val="14"/>
        <w:szCs w:val="14"/>
      </w:rPr>
      <w:t xml:space="preserve"> mod </w:t>
    </w:r>
    <w:proofErr w:type="spellStart"/>
    <w:r>
      <w:rPr>
        <w:color w:val="000000"/>
        <w:sz w:val="14"/>
        <w:szCs w:val="14"/>
      </w:rPr>
      <w:t>eronat</w:t>
    </w:r>
    <w:proofErr w:type="spellEnd"/>
    <w:r>
      <w:rPr>
        <w:color w:val="000000"/>
        <w:sz w:val="14"/>
        <w:szCs w:val="14"/>
      </w:rPr>
      <w:t xml:space="preserve">, </w:t>
    </w:r>
    <w:proofErr w:type="spellStart"/>
    <w:r>
      <w:rPr>
        <w:color w:val="000000"/>
        <w:sz w:val="14"/>
        <w:szCs w:val="14"/>
      </w:rPr>
      <w:t>vă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adresăm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rugămintea</w:t>
    </w:r>
    <w:proofErr w:type="spellEnd"/>
    <w:r>
      <w:rPr>
        <w:color w:val="000000"/>
        <w:sz w:val="14"/>
        <w:szCs w:val="14"/>
      </w:rPr>
      <w:t xml:space="preserve"> de a </w:t>
    </w:r>
    <w:proofErr w:type="spellStart"/>
    <w:r>
      <w:rPr>
        <w:color w:val="000000"/>
        <w:sz w:val="14"/>
        <w:szCs w:val="14"/>
      </w:rPr>
      <w:t>returna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documentul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primit</w:t>
    </w:r>
    <w:proofErr w:type="spellEnd"/>
    <w:r>
      <w:rPr>
        <w:color w:val="000000"/>
        <w:sz w:val="14"/>
        <w:szCs w:val="14"/>
      </w:rPr>
      <w:t xml:space="preserve">, </w:t>
    </w:r>
    <w:proofErr w:type="spellStart"/>
    <w:r>
      <w:rPr>
        <w:color w:val="000000"/>
        <w:sz w:val="14"/>
        <w:szCs w:val="14"/>
      </w:rPr>
      <w:t>expeditorului</w:t>
    </w:r>
    <w:proofErr w:type="spellEnd"/>
  </w:p>
  <w:p w14:paraId="6E924DCE" w14:textId="77777777" w:rsidR="006A5E2E" w:rsidRDefault="006A5E2E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E3EB" w14:textId="77777777" w:rsidR="006F123C" w:rsidRDefault="006F123C">
      <w:pPr>
        <w:spacing w:line="240" w:lineRule="auto"/>
        <w:ind w:left="0" w:hanging="2"/>
      </w:pPr>
      <w:r>
        <w:separator/>
      </w:r>
    </w:p>
  </w:footnote>
  <w:footnote w:type="continuationSeparator" w:id="0">
    <w:p w14:paraId="7DD223A6" w14:textId="77777777" w:rsidR="006F123C" w:rsidRDefault="006F12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F2E8" w14:textId="77777777" w:rsidR="006A5E2E" w:rsidRDefault="006A5E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"/>
      <w:tblW w:w="11624" w:type="dxa"/>
      <w:tblInd w:w="-142" w:type="dxa"/>
      <w:tblLayout w:type="fixed"/>
      <w:tblLook w:val="0000" w:firstRow="0" w:lastRow="0" w:firstColumn="0" w:lastColumn="0" w:noHBand="0" w:noVBand="0"/>
    </w:tblPr>
    <w:tblGrid>
      <w:gridCol w:w="6804"/>
      <w:gridCol w:w="4820"/>
    </w:tblGrid>
    <w:tr w:rsidR="006A5E2E" w14:paraId="2B8577CE" w14:textId="77777777">
      <w:tc>
        <w:tcPr>
          <w:tcW w:w="6804" w:type="dxa"/>
        </w:tcPr>
        <w:p w14:paraId="405E802E" w14:textId="77777777" w:rsidR="006A5E2E" w:rsidRDefault="006F1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02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5512AE4D" wp14:editId="48B5AE1E">
                <wp:extent cx="2790825" cy="89535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04682CA5" w14:textId="77777777" w:rsidR="006A5E2E" w:rsidRDefault="006A5E2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709" w:hanging="2"/>
            <w:rPr>
              <w:color w:val="000000"/>
              <w:sz w:val="18"/>
              <w:szCs w:val="18"/>
            </w:rPr>
          </w:pPr>
        </w:p>
      </w:tc>
    </w:tr>
  </w:tbl>
  <w:p w14:paraId="3A51E6B7" w14:textId="77777777" w:rsidR="006A5E2E" w:rsidRDefault="006A5E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E2E"/>
    <w:rsid w:val="001B6F5A"/>
    <w:rsid w:val="006A5E2E"/>
    <w:rsid w:val="006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8E82"/>
  <w15:docId w15:val="{E96E904F-CBA4-476B-BEBC-457B8B6B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ascii="Calibri" w:eastAsia="MS Gothic" w:hAnsi="Calibri"/>
      <w:b/>
      <w:bCs/>
      <w:kern w:val="28"/>
      <w:sz w:val="32"/>
      <w:szCs w:val="3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18"/>
      <w:szCs w:val="18"/>
      <w:lang w:val="en-US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leEmphasis1">
    <w:name w:val="Subtle Emphasis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IntenseEmphasis1">
    <w:name w:val="Intense Emphasis1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</w:rPr>
  </w:style>
  <w:style w:type="character" w:customStyle="1" w:styleId="ColorfulGrid-Accent1Char">
    <w:name w:val="Colorful Grid - Accent 1 Char"/>
    <w:rPr>
      <w:rFonts w:ascii="Trebuchet MS" w:hAnsi="Trebuchet MS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libri" w:eastAsia="MS Gothic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" w:eastAsia="MS Gothic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qFormat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rPr>
      <w:rFonts w:ascii="Calibri" w:eastAsia="Times New Roman" w:hAnsi="Calibri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al">
    <w:name w:val="a_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muncii.ro/j33/index.php/ro/2014-domenii/familie/politici-familiale-incluziune-si-asistenta-sociala/acreditare-furnizori-si-servicii-sociale/4848-2017-04-18-acreditare-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a@mmunci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ziuaonline@outlook.com</cp:lastModifiedBy>
  <cp:revision>3</cp:revision>
  <dcterms:created xsi:type="dcterms:W3CDTF">2021-11-17T00:15:00Z</dcterms:created>
  <dcterms:modified xsi:type="dcterms:W3CDTF">2021-11-17T00:15:00Z</dcterms:modified>
</cp:coreProperties>
</file>